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DE86B" w14:textId="0511210A" w:rsidR="00AE1911" w:rsidRPr="00CE0424" w:rsidRDefault="00AE1911" w:rsidP="00AE1911">
      <w:pPr>
        <w:pStyle w:val="3GPPHeader"/>
        <w:spacing w:after="60"/>
        <w:rPr>
          <w:sz w:val="32"/>
          <w:szCs w:val="32"/>
          <w:highlight w:val="yellow"/>
        </w:rPr>
      </w:pPr>
      <w:bookmarkStart w:id="0" w:name="_Hlk47544285"/>
      <w:bookmarkStart w:id="1" w:name="_GoBack"/>
      <w:bookmarkEnd w:id="1"/>
      <w:r w:rsidRPr="00CE0424">
        <w:t>3GPP TSG-RAN WG</w:t>
      </w:r>
      <w:r>
        <w:t>2</w:t>
      </w:r>
      <w:r w:rsidRPr="00CE0424">
        <w:t xml:space="preserve"> #</w:t>
      </w:r>
      <w:r>
        <w:t>113-e</w:t>
      </w:r>
      <w:r w:rsidRPr="00CE0424">
        <w:tab/>
      </w:r>
      <w:r w:rsidRPr="00CE0424">
        <w:rPr>
          <w:sz w:val="32"/>
          <w:szCs w:val="32"/>
        </w:rPr>
        <w:t xml:space="preserve">Tdoc </w:t>
      </w:r>
      <w:r w:rsidR="00304B50" w:rsidRPr="00304B50">
        <w:rPr>
          <w:sz w:val="32"/>
          <w:szCs w:val="32"/>
        </w:rPr>
        <w:t>R2-2101449</w:t>
      </w:r>
    </w:p>
    <w:p w14:paraId="38BA2ED5" w14:textId="05CEACA8" w:rsidR="00AE1911" w:rsidRPr="00CE0424" w:rsidRDefault="00AE1911" w:rsidP="00AE1911">
      <w:pPr>
        <w:pStyle w:val="3GPPHeader"/>
      </w:pPr>
      <w:bookmarkStart w:id="2" w:name="_Hlk47544310"/>
      <w:r>
        <w:t>Electronic meeting, January 25</w:t>
      </w:r>
      <w:r>
        <w:rPr>
          <w:vertAlign w:val="superscript"/>
        </w:rPr>
        <w:t>th</w:t>
      </w:r>
      <w:r>
        <w:t xml:space="preserve"> – February 5</w:t>
      </w:r>
      <w:r w:rsidRPr="00C268E6">
        <w:rPr>
          <w:vertAlign w:val="superscript"/>
        </w:rPr>
        <w:t>th</w:t>
      </w:r>
      <w:r>
        <w:t xml:space="preserve"> 2021</w:t>
      </w:r>
    </w:p>
    <w:bookmarkEnd w:id="0"/>
    <w:bookmarkEnd w:id="2"/>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Pr>
          <w:sz w:val="22"/>
          <w:szCs w:val="22"/>
        </w:rPr>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8A50F57" w:rsidR="00E90E49" w:rsidRPr="00CE0424" w:rsidRDefault="003D3C45" w:rsidP="00311702">
      <w:pPr>
        <w:pStyle w:val="3GPPHeader"/>
        <w:rPr>
          <w:sz w:val="22"/>
          <w:szCs w:val="22"/>
        </w:rPr>
      </w:pPr>
      <w:r>
        <w:rPr>
          <w:sz w:val="22"/>
          <w:szCs w:val="22"/>
        </w:rPr>
        <w:t>Title:</w:t>
      </w:r>
      <w:r w:rsidR="00E90E49" w:rsidRPr="00CE0424">
        <w:rPr>
          <w:sz w:val="22"/>
          <w:szCs w:val="22"/>
        </w:rPr>
        <w:tab/>
      </w:r>
      <w:r w:rsidR="00F425C2">
        <w:rPr>
          <w:sz w:val="22"/>
          <w:szCs w:val="22"/>
        </w:rPr>
        <w:t xml:space="preserve">On </w:t>
      </w:r>
      <w:r w:rsidR="001B44D9">
        <w:rPr>
          <w:sz w:val="22"/>
          <w:szCs w:val="22"/>
        </w:rPr>
        <w:t>IAB</w:t>
      </w:r>
      <w:r w:rsidR="00EA6CC0">
        <w:rPr>
          <w:sz w:val="22"/>
          <w:szCs w:val="22"/>
        </w:rPr>
        <w:t xml:space="preserve"> Inter-donor </w:t>
      </w:r>
      <w:r w:rsidR="00F425C2">
        <w:rPr>
          <w:sz w:val="22"/>
          <w:szCs w:val="22"/>
        </w:rPr>
        <w:t>Topology Adaptation</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257C08D4" w14:textId="77777777" w:rsidR="00477768" w:rsidRPr="00CE0424" w:rsidRDefault="00477768" w:rsidP="00130F1F">
      <w:pPr>
        <w:pStyle w:val="BodyText"/>
        <w:jc w:val="left"/>
      </w:pPr>
    </w:p>
    <w:p w14:paraId="226B631E" w14:textId="4B380112" w:rsidR="004000E8" w:rsidRDefault="00230D18" w:rsidP="00CE0424">
      <w:pPr>
        <w:pStyle w:val="Heading1"/>
      </w:pPr>
      <w:bookmarkStart w:id="3" w:name="_Ref178064866"/>
      <w:r>
        <w:t>2</w:t>
      </w:r>
      <w:r>
        <w:tab/>
      </w:r>
      <w:r w:rsidR="004000E8" w:rsidRPr="00CE0424">
        <w:t>Discussion</w:t>
      </w:r>
      <w:bookmarkEnd w:id="3"/>
    </w:p>
    <w:p w14:paraId="70E1B077" w14:textId="77777777" w:rsidR="000C6B33" w:rsidRDefault="000C6B33" w:rsidP="000C6B33">
      <w:pPr>
        <w:pStyle w:val="Heading2"/>
      </w:pPr>
      <w:r>
        <w:t>2.1</w:t>
      </w:r>
      <w:r>
        <w:tab/>
        <w:t>Design principles for inter-CU topology adaptation</w:t>
      </w:r>
    </w:p>
    <w:p w14:paraId="1D3BAA27" w14:textId="484A70CE" w:rsidR="000C6B33" w:rsidRDefault="000C6B33" w:rsidP="000C6B33">
      <w:pPr>
        <w:rPr>
          <w:rFonts w:ascii="Arial" w:hAnsi="Arial" w:cs="Arial"/>
        </w:rPr>
      </w:pPr>
      <w:r>
        <w:rPr>
          <w:rFonts w:ascii="Arial" w:hAnsi="Arial" w:cs="Arial"/>
        </w:rPr>
        <w:t xml:space="preserve">One of the goals of this Work Item is to study inter-CU topology adaptation mechanisms for IAB. </w:t>
      </w:r>
      <w:r w:rsidR="004669A1">
        <w:rPr>
          <w:rFonts w:ascii="Arial" w:hAnsi="Arial" w:cs="Arial"/>
        </w:rPr>
        <w:t>T</w:t>
      </w:r>
      <w:r>
        <w:rPr>
          <w:rFonts w:ascii="Arial" w:hAnsi="Arial" w:cs="Arial"/>
        </w:rPr>
        <w:t>he only two cases to discuss are load balancing and RLF</w:t>
      </w:r>
      <w:r w:rsidR="00103569">
        <w:rPr>
          <w:rFonts w:ascii="Arial" w:hAnsi="Arial" w:cs="Arial"/>
        </w:rPr>
        <w:t xml:space="preserve"> recovery</w:t>
      </w:r>
      <w:r w:rsidR="00843E8F">
        <w:rPr>
          <w:rFonts w:ascii="Arial" w:hAnsi="Arial" w:cs="Arial"/>
        </w:rPr>
        <w:t>,</w:t>
      </w:r>
      <w:r>
        <w:rPr>
          <w:rFonts w:ascii="Arial" w:hAnsi="Arial" w:cs="Arial"/>
        </w:rPr>
        <w:t xml:space="preserve"> wh</w:t>
      </w:r>
      <w:r w:rsidR="00843E8F">
        <w:rPr>
          <w:rFonts w:ascii="Arial" w:hAnsi="Arial" w:cs="Arial"/>
        </w:rPr>
        <w:t>ere</w:t>
      </w:r>
      <w:r>
        <w:rPr>
          <w:rFonts w:ascii="Arial" w:hAnsi="Arial" w:cs="Arial"/>
        </w:rPr>
        <w:t xml:space="preserve"> a static </w:t>
      </w:r>
      <w:r w:rsidR="00843E8F">
        <w:rPr>
          <w:rFonts w:ascii="Arial" w:hAnsi="Arial" w:cs="Arial"/>
        </w:rPr>
        <w:t>(i.e., non-mobile)</w:t>
      </w:r>
      <w:r>
        <w:rPr>
          <w:rFonts w:ascii="Arial" w:hAnsi="Arial" w:cs="Arial"/>
        </w:rPr>
        <w:t xml:space="preserve"> child IAB node has at least two static parent IAB nodes. </w:t>
      </w:r>
      <w:r w:rsidR="00441989">
        <w:rPr>
          <w:rFonts w:ascii="Arial" w:hAnsi="Arial" w:cs="Arial"/>
          <w:b/>
        </w:rPr>
        <w:t>For</w:t>
      </w:r>
      <w:r>
        <w:rPr>
          <w:rFonts w:ascii="Arial" w:hAnsi="Arial" w:cs="Arial"/>
          <w:b/>
        </w:rPr>
        <w:t xml:space="preserve"> static IAB network</w:t>
      </w:r>
      <w:r w:rsidR="00441F0F">
        <w:rPr>
          <w:rFonts w:ascii="Arial" w:hAnsi="Arial" w:cs="Arial"/>
          <w:b/>
        </w:rPr>
        <w:t>s</w:t>
      </w:r>
      <w:r>
        <w:rPr>
          <w:rFonts w:ascii="Arial" w:hAnsi="Arial" w:cs="Arial"/>
          <w:b/>
        </w:rPr>
        <w:t xml:space="preserve">, network planning is required to </w:t>
      </w:r>
      <w:r w:rsidR="00F74856">
        <w:rPr>
          <w:rFonts w:ascii="Arial" w:hAnsi="Arial" w:cs="Arial"/>
          <w:b/>
        </w:rPr>
        <w:t xml:space="preserve">deploy an IAB node </w:t>
      </w:r>
      <w:r w:rsidR="002B40A6">
        <w:rPr>
          <w:rFonts w:ascii="Arial" w:hAnsi="Arial" w:cs="Arial"/>
          <w:b/>
        </w:rPr>
        <w:t xml:space="preserve">under the </w:t>
      </w:r>
      <w:r>
        <w:rPr>
          <w:rFonts w:ascii="Arial" w:hAnsi="Arial" w:cs="Arial"/>
          <w:b/>
        </w:rPr>
        <w:t xml:space="preserve">coverage of two </w:t>
      </w:r>
      <w:r w:rsidR="001837C9">
        <w:rPr>
          <w:rFonts w:ascii="Arial" w:hAnsi="Arial" w:cs="Arial"/>
          <w:b/>
        </w:rPr>
        <w:t xml:space="preserve">candidate </w:t>
      </w:r>
      <w:r>
        <w:rPr>
          <w:rFonts w:ascii="Arial" w:hAnsi="Arial" w:cs="Arial"/>
          <w:b/>
        </w:rPr>
        <w:t>parent nodes</w:t>
      </w:r>
    </w:p>
    <w:p w14:paraId="14FB5823" w14:textId="5E7FA4FF" w:rsidR="000C6B33" w:rsidRDefault="00724170" w:rsidP="00130F1F">
      <w:pPr>
        <w:pStyle w:val="Observation"/>
        <w:numPr>
          <w:ilvl w:val="0"/>
          <w:numId w:val="24"/>
        </w:numPr>
        <w:ind w:left="1701" w:hanging="1701"/>
        <w:jc w:val="left"/>
        <w:textAlignment w:val="auto"/>
      </w:pPr>
      <w:bookmarkStart w:id="4" w:name="_Toc54010953"/>
      <w:bookmarkStart w:id="5" w:name="_Toc54276127"/>
      <w:bookmarkStart w:id="6" w:name="_Toc61555514"/>
      <w:r>
        <w:t>For</w:t>
      </w:r>
      <w:r w:rsidR="000C6B33">
        <w:t xml:space="preserve"> non-mobile IAB network</w:t>
      </w:r>
      <w:r w:rsidR="00E76D8E">
        <w:t>s</w:t>
      </w:r>
      <w:r w:rsidR="000C6B33">
        <w:t xml:space="preserve">, network planning is </w:t>
      </w:r>
      <w:r w:rsidR="002E165F">
        <w:t xml:space="preserve">necessary </w:t>
      </w:r>
      <w:r>
        <w:t>for ensuring</w:t>
      </w:r>
      <w:r w:rsidR="002E165F">
        <w:t xml:space="preserve"> that </w:t>
      </w:r>
      <w:r w:rsidR="000C6B33">
        <w:t xml:space="preserve">an IAB node </w:t>
      </w:r>
      <w:r w:rsidR="007A0293">
        <w:t>is</w:t>
      </w:r>
      <w:r w:rsidR="00C21521">
        <w:t xml:space="preserve"> deployed in th</w:t>
      </w:r>
      <w:r w:rsidR="0003291C">
        <w:t xml:space="preserve">e </w:t>
      </w:r>
      <w:r w:rsidR="000C6B33">
        <w:t xml:space="preserve">coverage </w:t>
      </w:r>
      <w:r w:rsidR="0003291C">
        <w:t xml:space="preserve">of </w:t>
      </w:r>
      <w:r w:rsidR="000C6B33">
        <w:t>two parent nodes</w:t>
      </w:r>
      <w:bookmarkEnd w:id="4"/>
      <w:r w:rsidR="000C6B33">
        <w:t>.</w:t>
      </w:r>
      <w:bookmarkEnd w:id="5"/>
      <w:bookmarkEnd w:id="6"/>
    </w:p>
    <w:p w14:paraId="0970F283" w14:textId="3F90BA78" w:rsidR="000C6B33" w:rsidRDefault="007A0293" w:rsidP="000C6B33">
      <w:pPr>
        <w:rPr>
          <w:rFonts w:ascii="Arial" w:hAnsi="Arial" w:cs="Arial"/>
        </w:rPr>
      </w:pPr>
      <w:r>
        <w:rPr>
          <w:rFonts w:ascii="Arial" w:hAnsi="Arial" w:cs="Arial"/>
        </w:rPr>
        <w:t>I</w:t>
      </w:r>
      <w:r w:rsidR="000C6B33">
        <w:rPr>
          <w:rFonts w:ascii="Arial" w:hAnsi="Arial" w:cs="Arial"/>
        </w:rPr>
        <w:t xml:space="preserve">nter-CU topology adaptation is a very specific case. It requires that an IAB node (or a UE) is under the coverage of two nodes, each of them being controlled by a different </w:t>
      </w:r>
      <w:r w:rsidR="007546C0">
        <w:rPr>
          <w:rFonts w:ascii="Arial" w:hAnsi="Arial" w:cs="Arial"/>
        </w:rPr>
        <w:t xml:space="preserve">donor </w:t>
      </w:r>
      <w:r w:rsidR="000C6B33">
        <w:rPr>
          <w:rFonts w:ascii="Arial" w:hAnsi="Arial" w:cs="Arial"/>
        </w:rPr>
        <w:t xml:space="preserve">CU. In a typical network, a </w:t>
      </w:r>
      <w:r w:rsidR="007C209F">
        <w:rPr>
          <w:rFonts w:ascii="Arial" w:hAnsi="Arial" w:cs="Arial"/>
        </w:rPr>
        <w:t xml:space="preserve">donor </w:t>
      </w:r>
      <w:r w:rsidR="000C6B33">
        <w:rPr>
          <w:rFonts w:ascii="Arial" w:hAnsi="Arial" w:cs="Arial"/>
        </w:rPr>
        <w:t xml:space="preserve">CU controls a vast area. As a result, there will be a limited number of cells that have an overlapping area covered by other nodes from a different CU. When it comes to real deployment scenarios, IAB nodes are likely to be a small fraction of all the network nodes and are likely to be deployed </w:t>
      </w:r>
      <w:r w:rsidR="00DF65A4">
        <w:rPr>
          <w:rFonts w:ascii="Arial" w:hAnsi="Arial" w:cs="Arial"/>
        </w:rPr>
        <w:t xml:space="preserve">only </w:t>
      </w:r>
      <w:r w:rsidR="000C6B33">
        <w:rPr>
          <w:rFonts w:ascii="Arial" w:hAnsi="Arial" w:cs="Arial"/>
        </w:rPr>
        <w:t xml:space="preserve">in </w:t>
      </w:r>
      <w:r w:rsidR="00DF65A4">
        <w:rPr>
          <w:rFonts w:ascii="Arial" w:hAnsi="Arial" w:cs="Arial"/>
        </w:rPr>
        <w:t>certain</w:t>
      </w:r>
      <w:r w:rsidR="000C6B33">
        <w:rPr>
          <w:rFonts w:ascii="Arial" w:hAnsi="Arial" w:cs="Arial"/>
        </w:rPr>
        <w:t xml:space="preserve"> areas. Thus, situations in which IAB nodes are exactly deployed between bordering areas of two </w:t>
      </w:r>
      <w:r w:rsidR="00E26956">
        <w:rPr>
          <w:rFonts w:ascii="Arial" w:hAnsi="Arial" w:cs="Arial"/>
        </w:rPr>
        <w:t xml:space="preserve">donor </w:t>
      </w:r>
      <w:r w:rsidR="000C6B33">
        <w:rPr>
          <w:rFonts w:ascii="Arial" w:hAnsi="Arial" w:cs="Arial"/>
        </w:rPr>
        <w:t xml:space="preserve">CUs may be rare. </w:t>
      </w:r>
    </w:p>
    <w:p w14:paraId="4D143D1E" w14:textId="0F0B7435" w:rsidR="000C6B33" w:rsidRDefault="000C6B33" w:rsidP="00130F1F">
      <w:pPr>
        <w:pStyle w:val="Observation"/>
        <w:numPr>
          <w:ilvl w:val="0"/>
          <w:numId w:val="24"/>
        </w:numPr>
        <w:ind w:left="1701" w:hanging="1701"/>
        <w:jc w:val="left"/>
        <w:textAlignment w:val="auto"/>
      </w:pPr>
      <w:bookmarkStart w:id="7" w:name="_Toc54010954"/>
      <w:bookmarkStart w:id="8" w:name="_Toc54276128"/>
      <w:bookmarkStart w:id="9" w:name="_Toc61555515"/>
      <w:r>
        <w:t xml:space="preserve">Situations </w:t>
      </w:r>
      <w:r w:rsidR="009A3B4B">
        <w:t>where</w:t>
      </w:r>
      <w:r>
        <w:t xml:space="preserve"> IAB nodes are exactly deployed between bordering areas of two IAB-Donor CUs may be rare</w:t>
      </w:r>
      <w:bookmarkEnd w:id="7"/>
      <w:r>
        <w:t>.</w:t>
      </w:r>
      <w:bookmarkEnd w:id="8"/>
      <w:bookmarkEnd w:id="9"/>
    </w:p>
    <w:p w14:paraId="4F14ACF7" w14:textId="30280CDC" w:rsidR="00363AEB" w:rsidRDefault="000C6B33" w:rsidP="00130F1F">
      <w:pPr>
        <w:pStyle w:val="BodyText"/>
        <w:jc w:val="left"/>
      </w:pPr>
      <w:r>
        <w:rPr>
          <w:rFonts w:cs="Arial"/>
        </w:rPr>
        <w:t xml:space="preserve">When a UE moves from the coverage area of one cell to another cell, there is a handover, and, if this handover also implies a CU change, the UE context is handed over to the new CU. Moving the context and load of single UE is not the same as moving the context and load of an IAB, its child nodes, and all the UEs connected to these nodes. </w:t>
      </w:r>
      <w:r>
        <w:rPr>
          <w:rFonts w:cs="Arial"/>
          <w:b/>
        </w:rPr>
        <w:t xml:space="preserve">CUs are dimensioned to handle a certain </w:t>
      </w:r>
      <w:r>
        <w:rPr>
          <w:rFonts w:cs="Arial"/>
          <w:b/>
          <w:bCs/>
        </w:rPr>
        <w:t>number</w:t>
      </w:r>
      <w:r>
        <w:rPr>
          <w:rFonts w:cs="Arial"/>
          <w:b/>
        </w:rPr>
        <w:t xml:space="preserve"> of users and </w:t>
      </w:r>
      <w:r w:rsidR="00130F1F">
        <w:rPr>
          <w:rFonts w:cs="Arial"/>
          <w:b/>
        </w:rPr>
        <w:t xml:space="preserve">a certain amount of </w:t>
      </w:r>
      <w:r>
        <w:rPr>
          <w:rFonts w:cs="Arial"/>
          <w:b/>
        </w:rPr>
        <w:t xml:space="preserve">traffic; however, they are not designed to handle </w:t>
      </w:r>
      <w:r w:rsidR="008874D3">
        <w:rPr>
          <w:rFonts w:cs="Arial"/>
          <w:b/>
        </w:rPr>
        <w:t>both</w:t>
      </w:r>
      <w:r>
        <w:rPr>
          <w:rFonts w:cs="Arial"/>
          <w:b/>
        </w:rPr>
        <w:t xml:space="preserve"> </w:t>
      </w:r>
      <w:r w:rsidR="003836ED">
        <w:rPr>
          <w:rFonts w:cs="Arial"/>
          <w:b/>
        </w:rPr>
        <w:t>their</w:t>
      </w:r>
      <w:r>
        <w:rPr>
          <w:rFonts w:cs="Arial"/>
          <w:b/>
        </w:rPr>
        <w:t xml:space="preserve"> own UEs, their corresponding traffic, and the UEs and traffic </w:t>
      </w:r>
      <w:r w:rsidR="00F22F37">
        <w:rPr>
          <w:rFonts w:cs="Arial"/>
          <w:b/>
        </w:rPr>
        <w:t xml:space="preserve">served by </w:t>
      </w:r>
      <w:r>
        <w:rPr>
          <w:rFonts w:cs="Arial"/>
          <w:b/>
        </w:rPr>
        <w:t>the adjacent CU</w:t>
      </w:r>
      <w:r>
        <w:rPr>
          <w:rFonts w:cs="Arial"/>
        </w:rPr>
        <w:t xml:space="preserve">. </w:t>
      </w:r>
      <w:r w:rsidR="00363AEB">
        <w:rPr>
          <w:rFonts w:cs="Arial"/>
        </w:rPr>
        <w:t xml:space="preserve">Operators do not plan their networks for the </w:t>
      </w:r>
      <w:r w:rsidR="008874D3">
        <w:rPr>
          <w:rFonts w:cs="Arial"/>
        </w:rPr>
        <w:t xml:space="preserve">worst </w:t>
      </w:r>
      <w:r w:rsidR="00363AEB">
        <w:rPr>
          <w:rFonts w:cs="Arial"/>
        </w:rPr>
        <w:t>case</w:t>
      </w:r>
      <w:r w:rsidR="0042487B">
        <w:rPr>
          <w:rFonts w:cs="Arial"/>
        </w:rPr>
        <w:t xml:space="preserve">, </w:t>
      </w:r>
      <w:r w:rsidR="00363AEB">
        <w:rPr>
          <w:rFonts w:cs="Arial"/>
        </w:rPr>
        <w:t>mean</w:t>
      </w:r>
      <w:r w:rsidR="0042487B">
        <w:rPr>
          <w:rFonts w:cs="Arial"/>
        </w:rPr>
        <w:t>ing</w:t>
      </w:r>
      <w:r w:rsidR="00363AEB">
        <w:rPr>
          <w:rFonts w:cs="Arial"/>
        </w:rPr>
        <w:t xml:space="preserve"> that CUs will not be dimensioned as described above. </w:t>
      </w:r>
      <w:r w:rsidR="00363AEB">
        <w:t xml:space="preserve">Thus, solutions </w:t>
      </w:r>
      <w:r w:rsidR="00A25B57">
        <w:t>that</w:t>
      </w:r>
      <w:r w:rsidR="00363AEB">
        <w:t xml:space="preserve"> result in all the contexts </w:t>
      </w:r>
      <w:r w:rsidR="00B50CD3">
        <w:t>being</w:t>
      </w:r>
      <w:r w:rsidR="00363AEB">
        <w:t xml:space="preserve"> moved from one CU to another CU are not </w:t>
      </w:r>
      <w:r w:rsidR="00851EA6">
        <w:t xml:space="preserve">practical </w:t>
      </w:r>
      <w:r w:rsidR="00363AEB">
        <w:t xml:space="preserve">from </w:t>
      </w:r>
      <w:r w:rsidR="00B50CD3">
        <w:t>the network CAPEX/OPEX point of view</w:t>
      </w:r>
      <w:r w:rsidR="00363AEB">
        <w:t>.</w:t>
      </w:r>
    </w:p>
    <w:p w14:paraId="52F916FF" w14:textId="5292CC97" w:rsidR="00643800" w:rsidRDefault="00363AEB" w:rsidP="00643800">
      <w:pPr>
        <w:pStyle w:val="Observation"/>
        <w:numPr>
          <w:ilvl w:val="0"/>
          <w:numId w:val="24"/>
        </w:numPr>
        <w:ind w:left="1701" w:hanging="1701"/>
        <w:jc w:val="left"/>
        <w:textAlignment w:val="auto"/>
      </w:pPr>
      <w:bookmarkStart w:id="10" w:name="_Toc61555516"/>
      <w:bookmarkStart w:id="11" w:name="_Toc54276129"/>
      <w:bookmarkStart w:id="12" w:name="_Ref54014322"/>
      <w:bookmarkStart w:id="13" w:name="_Toc54010955"/>
      <w:r>
        <w:t xml:space="preserve">Solutions based on moving all the contexts from one CU to another CU are not </w:t>
      </w:r>
      <w:r w:rsidR="00423B81">
        <w:t xml:space="preserve">practical </w:t>
      </w:r>
      <w:r>
        <w:t xml:space="preserve">from </w:t>
      </w:r>
      <w:r w:rsidR="006B0963">
        <w:t xml:space="preserve">the network CAPEX/OPEX </w:t>
      </w:r>
      <w:r w:rsidR="007264A8">
        <w:t>perspective</w:t>
      </w:r>
      <w:r>
        <w:t>.</w:t>
      </w:r>
      <w:bookmarkEnd w:id="10"/>
    </w:p>
    <w:p w14:paraId="53A0080C" w14:textId="77777777" w:rsidR="00643800" w:rsidRDefault="00643800" w:rsidP="00643800">
      <w:pPr>
        <w:pStyle w:val="Proposal"/>
      </w:pPr>
      <w:bookmarkStart w:id="14" w:name="_Toc61555527"/>
      <w:r>
        <w:t>RAN2 to avoid specifying solutions for mobility use case since mobility is not the goal of the IAB Rel-17 WI</w:t>
      </w:r>
      <w:bookmarkEnd w:id="14"/>
    </w:p>
    <w:p w14:paraId="1E26DAAE" w14:textId="77777777" w:rsidR="00643800" w:rsidRDefault="00643800" w:rsidP="00643800">
      <w:pPr>
        <w:pStyle w:val="Observation"/>
        <w:numPr>
          <w:ilvl w:val="0"/>
          <w:numId w:val="0"/>
        </w:numPr>
        <w:ind w:left="1701" w:hanging="1701"/>
        <w:jc w:val="left"/>
        <w:textAlignment w:val="auto"/>
      </w:pPr>
    </w:p>
    <w:bookmarkEnd w:id="11"/>
    <w:bookmarkEnd w:id="12"/>
    <w:bookmarkEnd w:id="13"/>
    <w:p w14:paraId="2A0562CE" w14:textId="77777777" w:rsidR="009652CC" w:rsidRDefault="000C6B33" w:rsidP="009652CC">
      <w:pPr>
        <w:pStyle w:val="Heading2"/>
      </w:pPr>
      <w:r>
        <w:lastRenderedPageBreak/>
        <w:t>2.2</w:t>
      </w:r>
      <w:r>
        <w:tab/>
      </w:r>
      <w:r w:rsidR="009652CC">
        <w:t>Use cases to address in IAB Rel-17</w:t>
      </w:r>
    </w:p>
    <w:p w14:paraId="798D562D" w14:textId="3A2E423D" w:rsidR="009652CC" w:rsidRDefault="009652CC" w:rsidP="009652CC">
      <w:pPr>
        <w:rPr>
          <w:rFonts w:ascii="Arial" w:hAnsi="Arial" w:cs="Arial"/>
        </w:rPr>
      </w:pPr>
      <w:r>
        <w:rPr>
          <w:rFonts w:ascii="Arial" w:hAnsi="Arial" w:cs="Arial"/>
        </w:rPr>
        <w:t xml:space="preserve">The </w:t>
      </w:r>
      <w:r w:rsidR="00C30010">
        <w:rPr>
          <w:rFonts w:ascii="Arial" w:hAnsi="Arial" w:cs="Arial"/>
        </w:rPr>
        <w:t>occurrence of</w:t>
      </w:r>
      <w:r>
        <w:rPr>
          <w:rFonts w:ascii="Arial" w:hAnsi="Arial" w:cs="Arial"/>
        </w:rPr>
        <w:t xml:space="preserve"> </w:t>
      </w:r>
      <w:r w:rsidR="00117835">
        <w:rPr>
          <w:rFonts w:ascii="Arial" w:hAnsi="Arial" w:cs="Arial"/>
          <w:b/>
          <w:bCs/>
          <w:u w:val="single"/>
        </w:rPr>
        <w:t xml:space="preserve">RLF </w:t>
      </w:r>
      <w:r w:rsidR="00C30010">
        <w:rPr>
          <w:rFonts w:ascii="Arial" w:hAnsi="Arial" w:cs="Arial"/>
          <w:b/>
          <w:bCs/>
          <w:u w:val="single"/>
        </w:rPr>
        <w:t xml:space="preserve">in border areas between two CUs (i.e. </w:t>
      </w:r>
      <w:r w:rsidRPr="00E60D9B">
        <w:rPr>
          <w:rFonts w:ascii="Arial" w:hAnsi="Arial" w:cs="Arial"/>
          <w:b/>
          <w:bCs/>
          <w:u w:val="single"/>
        </w:rPr>
        <w:t>inter-CU RLF</w:t>
      </w:r>
      <w:r w:rsidR="00C30010">
        <w:rPr>
          <w:rFonts w:ascii="Arial" w:hAnsi="Arial" w:cs="Arial"/>
          <w:b/>
          <w:bCs/>
          <w:u w:val="single"/>
        </w:rPr>
        <w:t xml:space="preserve"> recovery scenario)</w:t>
      </w:r>
      <w:r>
        <w:rPr>
          <w:rFonts w:ascii="Arial" w:hAnsi="Arial" w:cs="Arial"/>
        </w:rPr>
        <w:t xml:space="preserve"> </w:t>
      </w:r>
      <w:r w:rsidR="003E01EB">
        <w:rPr>
          <w:rFonts w:ascii="Arial" w:hAnsi="Arial" w:cs="Arial"/>
        </w:rPr>
        <w:t>is</w:t>
      </w:r>
      <w:r>
        <w:rPr>
          <w:rFonts w:ascii="Arial" w:hAnsi="Arial" w:cs="Arial"/>
        </w:rPr>
        <w:t xml:space="preserve"> </w:t>
      </w:r>
      <w:r w:rsidR="003E01EB">
        <w:rPr>
          <w:rFonts w:ascii="Arial" w:hAnsi="Arial" w:cs="Arial"/>
        </w:rPr>
        <w:t xml:space="preserve">likely to be </w:t>
      </w:r>
      <w:r>
        <w:rPr>
          <w:rFonts w:ascii="Arial" w:hAnsi="Arial" w:cs="Arial"/>
        </w:rPr>
        <w:t>a singularity for static and planned networks (purpose of this WI). There is no real use case or business case for solutions to address the RLF for inter-CU cases [1]. Thus, RAN2 should minimize the impact of solutions address</w:t>
      </w:r>
      <w:r w:rsidR="003E01EB">
        <w:rPr>
          <w:rFonts w:ascii="Arial" w:hAnsi="Arial" w:cs="Arial"/>
        </w:rPr>
        <w:t>ing</w:t>
      </w:r>
      <w:r>
        <w:rPr>
          <w:rFonts w:ascii="Arial" w:hAnsi="Arial" w:cs="Arial"/>
        </w:rPr>
        <w:t xml:space="preserve"> an extremely rare use case. It would be more constructive to find a solution that addresses the most interesting use case from a business perspective (i.e. load balancing) and </w:t>
      </w:r>
      <w:r w:rsidR="005F6B2F">
        <w:rPr>
          <w:rFonts w:ascii="Arial" w:hAnsi="Arial" w:cs="Arial"/>
        </w:rPr>
        <w:t>that</w:t>
      </w:r>
      <w:r>
        <w:rPr>
          <w:rFonts w:ascii="Arial" w:hAnsi="Arial" w:cs="Arial"/>
        </w:rPr>
        <w:t xml:space="preserve"> can also be used for RLF </w:t>
      </w:r>
      <w:r w:rsidR="00411B81">
        <w:rPr>
          <w:rFonts w:ascii="Arial" w:hAnsi="Arial" w:cs="Arial"/>
        </w:rPr>
        <w:t>recovery</w:t>
      </w:r>
      <w:r>
        <w:rPr>
          <w:rFonts w:ascii="Arial" w:hAnsi="Arial" w:cs="Arial"/>
        </w:rPr>
        <w:t>.</w:t>
      </w:r>
    </w:p>
    <w:p w14:paraId="4BFE7391" w14:textId="3B1A4627" w:rsidR="00173D80" w:rsidRDefault="009652CC" w:rsidP="00130F1F">
      <w:pPr>
        <w:rPr>
          <w:rFonts w:ascii="Arial" w:hAnsi="Arial" w:cs="Arial"/>
        </w:rPr>
      </w:pPr>
      <w:r w:rsidRPr="00E60D9B">
        <w:rPr>
          <w:rFonts w:ascii="Arial" w:hAnsi="Arial" w:cs="Arial"/>
          <w:b/>
          <w:bCs/>
          <w:u w:val="single"/>
        </w:rPr>
        <w:t>Load balancing</w:t>
      </w:r>
      <w:r>
        <w:rPr>
          <w:rFonts w:ascii="Arial" w:hAnsi="Arial" w:cs="Arial"/>
        </w:rPr>
        <w:t xml:space="preserve"> in our view is the only inter-donor migration-related use case that may be justified. When an IAB node is within the coverage of other IAB nodes, there is an opportunity to perform load balancing. Since the network knows about the candidate parent nodes, load balancing mechanism can be started at any time when needed. Measurements are not required since nodes are static and deployed as per network planning strategy. Load balancing is a mechanism to control the load long term i.e. it is meant to react when certain thresholds and criteria are met over </w:t>
      </w:r>
      <w:r w:rsidR="00CC12A5">
        <w:rPr>
          <w:rFonts w:ascii="Arial" w:hAnsi="Arial" w:cs="Arial"/>
        </w:rPr>
        <w:t xml:space="preserve">a certain </w:t>
      </w:r>
      <w:r w:rsidR="00CC12A5" w:rsidRPr="005F5471">
        <w:rPr>
          <w:rFonts w:ascii="Arial" w:hAnsi="Arial" w:cs="Arial"/>
        </w:rPr>
        <w:t>period</w:t>
      </w:r>
      <w:r w:rsidRPr="005F5471">
        <w:rPr>
          <w:rFonts w:ascii="Arial" w:hAnsi="Arial" w:cs="Arial"/>
        </w:rPr>
        <w:t>.</w:t>
      </w:r>
    </w:p>
    <w:p w14:paraId="4B1AF419" w14:textId="19A437D4" w:rsidR="009652CC" w:rsidRDefault="009652CC" w:rsidP="009652CC">
      <w:pPr>
        <w:rPr>
          <w:rFonts w:ascii="Arial" w:hAnsi="Arial" w:cs="Arial"/>
        </w:rPr>
      </w:pPr>
      <w:r>
        <w:rPr>
          <w:rFonts w:ascii="Arial" w:hAnsi="Arial" w:cs="Arial"/>
        </w:rPr>
        <w:t>Load balancing solutions that keep the UE context in the source CU have additional advantages. First, it completely avoids any reconfigurations towards the UEs or any other node below the IAB node from which load is offloaded, and, second, CUs do not have to be over-dimensioned or their capacity increased.</w:t>
      </w:r>
    </w:p>
    <w:p w14:paraId="697445D5" w14:textId="5EF6AE45" w:rsidR="00883ED2" w:rsidRDefault="00883ED2" w:rsidP="009652CC">
      <w:pPr>
        <w:rPr>
          <w:rFonts w:ascii="Arial" w:hAnsi="Arial" w:cs="Arial"/>
        </w:rPr>
      </w:pPr>
      <w:r>
        <w:rPr>
          <w:rFonts w:ascii="Arial" w:hAnsi="Arial" w:cs="Arial"/>
        </w:rPr>
        <w:t>Since mobility is not the purpose of th</w:t>
      </w:r>
      <w:r w:rsidR="00411C9F">
        <w:rPr>
          <w:rFonts w:ascii="Arial" w:hAnsi="Arial" w:cs="Arial"/>
        </w:rPr>
        <w:t xml:space="preserve">ese enhancements, once the radio conditions become good or the </w:t>
      </w:r>
      <w:r w:rsidR="00AC0097">
        <w:rPr>
          <w:rFonts w:ascii="Arial" w:hAnsi="Arial" w:cs="Arial"/>
        </w:rPr>
        <w:t>congestion situation which triggered load balancing is</w:t>
      </w:r>
      <w:r w:rsidR="0069122A">
        <w:rPr>
          <w:rFonts w:ascii="Arial" w:hAnsi="Arial" w:cs="Arial"/>
        </w:rPr>
        <w:t xml:space="preserve"> </w:t>
      </w:r>
      <w:r w:rsidR="00D3422F">
        <w:rPr>
          <w:rFonts w:ascii="Arial" w:hAnsi="Arial" w:cs="Arial"/>
        </w:rPr>
        <w:t>re</w:t>
      </w:r>
      <w:r w:rsidR="00AC0097">
        <w:rPr>
          <w:rFonts w:ascii="Arial" w:hAnsi="Arial" w:cs="Arial"/>
        </w:rPr>
        <w:t xml:space="preserve">solved, the traffic which was rerouted to a second CU (or DU or IAB) will be </w:t>
      </w:r>
      <w:r w:rsidR="00874F56">
        <w:rPr>
          <w:rFonts w:ascii="Arial" w:hAnsi="Arial" w:cs="Arial"/>
        </w:rPr>
        <w:t>taken back to its initial set-up. This need</w:t>
      </w:r>
      <w:r w:rsidR="008B7077">
        <w:rPr>
          <w:rFonts w:ascii="Arial" w:hAnsi="Arial" w:cs="Arial"/>
        </w:rPr>
        <w:t>s</w:t>
      </w:r>
      <w:r w:rsidR="00874F56">
        <w:rPr>
          <w:rFonts w:ascii="Arial" w:hAnsi="Arial" w:cs="Arial"/>
        </w:rPr>
        <w:t xml:space="preserve"> </w:t>
      </w:r>
      <w:r w:rsidR="00B11560">
        <w:rPr>
          <w:rFonts w:ascii="Arial" w:hAnsi="Arial" w:cs="Arial"/>
        </w:rPr>
        <w:t>to</w:t>
      </w:r>
      <w:r w:rsidR="00874F56">
        <w:rPr>
          <w:rFonts w:ascii="Arial" w:hAnsi="Arial" w:cs="Arial"/>
        </w:rPr>
        <w:t xml:space="preserve"> </w:t>
      </w:r>
      <w:r w:rsidR="00F015C1">
        <w:rPr>
          <w:rFonts w:ascii="Arial" w:hAnsi="Arial" w:cs="Arial"/>
        </w:rPr>
        <w:t>be considered when evaluating the different solutions.</w:t>
      </w:r>
    </w:p>
    <w:p w14:paraId="56032E3B" w14:textId="3E1ABD06" w:rsidR="00C72AE9" w:rsidRDefault="00C72AE9" w:rsidP="00130F1F">
      <w:pPr>
        <w:pStyle w:val="Observation"/>
        <w:jc w:val="left"/>
      </w:pPr>
      <w:bookmarkStart w:id="15" w:name="_Ref59021269"/>
      <w:bookmarkStart w:id="16" w:name="_Toc61555517"/>
      <w:r>
        <w:t xml:space="preserve">When the radio conditions improve and/or </w:t>
      </w:r>
      <w:r w:rsidR="00862A41">
        <w:t xml:space="preserve">the </w:t>
      </w:r>
      <w:r>
        <w:t xml:space="preserve">congestion situation </w:t>
      </w:r>
      <w:r w:rsidR="0024551C">
        <w:t>is</w:t>
      </w:r>
      <w:r w:rsidR="00653912">
        <w:t xml:space="preserve"> resolved</w:t>
      </w:r>
      <w:r w:rsidR="00173F04">
        <w:t>; the re-routed traffic is expected to return to its initial set-up</w:t>
      </w:r>
      <w:r w:rsidR="005609EB">
        <w:t>, i.e. moved back to the original CU</w:t>
      </w:r>
      <w:r w:rsidR="002E4853">
        <w:t>.</w:t>
      </w:r>
      <w:bookmarkEnd w:id="15"/>
      <w:bookmarkEnd w:id="16"/>
    </w:p>
    <w:p w14:paraId="6772D46C" w14:textId="77777777" w:rsidR="00643800" w:rsidRDefault="009652CC" w:rsidP="00643800">
      <w:pPr>
        <w:pStyle w:val="Proposal"/>
      </w:pPr>
      <w:bookmarkStart w:id="17" w:name="_Toc61555528"/>
      <w:r>
        <w:t>RAN2 should focus on load balancing solutions as the main use case for inter-donor migration.</w:t>
      </w:r>
      <w:r w:rsidR="002712B4">
        <w:t xml:space="preserve"> It is beneficial if these solutions also address RLF scenarios.</w:t>
      </w:r>
      <w:bookmarkEnd w:id="17"/>
    </w:p>
    <w:p w14:paraId="5BCE1C7E" w14:textId="6E6803B6" w:rsidR="00CE4EE4" w:rsidRDefault="00AE633B" w:rsidP="00F448A3">
      <w:pPr>
        <w:pStyle w:val="BodyText"/>
        <w:jc w:val="left"/>
      </w:pPr>
      <w:r>
        <w:t>Local re-routing is not a good mechanism for load balancing</w:t>
      </w:r>
      <w:r w:rsidR="00634907">
        <w:t xml:space="preserve"> if </w:t>
      </w:r>
      <w:r>
        <w:t xml:space="preserve">local re-routing is based on </w:t>
      </w:r>
      <w:r w:rsidR="00513083">
        <w:t>independent</w:t>
      </w:r>
      <w:r>
        <w:t xml:space="preserve"> decisions</w:t>
      </w:r>
      <w:r w:rsidR="0015544D">
        <w:t xml:space="preserve"> disconnected from any configuration provided by the CU</w:t>
      </w:r>
      <w:r w:rsidR="00DF1CCB">
        <w:t>. Load balancing should be monitored</w:t>
      </w:r>
      <w:r w:rsidR="009340F0">
        <w:t xml:space="preserve">, </w:t>
      </w:r>
      <w:r w:rsidR="00DF1CCB">
        <w:t>controlled</w:t>
      </w:r>
      <w:r w:rsidR="009340F0">
        <w:t xml:space="preserve">, and configured </w:t>
      </w:r>
      <w:r w:rsidR="00DF1CCB">
        <w:t>by the CU</w:t>
      </w:r>
      <w:r w:rsidR="009340F0">
        <w:t xml:space="preserve">. Individual IAB nodes should then perform re-routing based on the configuration provided by the CU. Yet, </w:t>
      </w:r>
      <w:r w:rsidR="00E022DA">
        <w:t>the architecture to do load balancing is another independent aspect.</w:t>
      </w:r>
    </w:p>
    <w:p w14:paraId="1E02005E" w14:textId="6FF6A9E7" w:rsidR="009652CC" w:rsidRDefault="009652CC" w:rsidP="000C6B33">
      <w:pPr>
        <w:pStyle w:val="Heading2"/>
      </w:pPr>
      <w:r>
        <w:t>2.3</w:t>
      </w:r>
      <w:r>
        <w:tab/>
      </w:r>
      <w:r w:rsidR="007A317A">
        <w:t>Discussion on s</w:t>
      </w:r>
      <w:r>
        <w:t>olutions</w:t>
      </w:r>
    </w:p>
    <w:p w14:paraId="2391874F" w14:textId="3AEF8F98" w:rsidR="009652CC" w:rsidRDefault="000C6B33" w:rsidP="000C6B33">
      <w:pPr>
        <w:pStyle w:val="Heading3"/>
      </w:pPr>
      <w:r>
        <w:t>2.</w:t>
      </w:r>
      <w:r w:rsidR="00765037">
        <w:t>3</w:t>
      </w:r>
      <w:r>
        <w:t>.1</w:t>
      </w:r>
      <w:r>
        <w:tab/>
      </w:r>
      <w:r w:rsidR="009652CC">
        <w:t>Conditional Handover</w:t>
      </w:r>
    </w:p>
    <w:p w14:paraId="7E3BD493" w14:textId="4E47232D" w:rsidR="000E395D" w:rsidRDefault="009652CC" w:rsidP="009652CC">
      <w:pPr>
        <w:rPr>
          <w:rFonts w:ascii="Arial" w:hAnsi="Arial" w:cs="Arial"/>
          <w:lang w:eastAsia="zh-CN"/>
        </w:rPr>
      </w:pPr>
      <w:r w:rsidRPr="000E395D">
        <w:rPr>
          <w:rFonts w:ascii="Arial" w:hAnsi="Arial" w:cs="Arial"/>
          <w:b/>
          <w:bCs/>
          <w:u w:val="single"/>
          <w:lang w:eastAsia="zh-CN"/>
        </w:rPr>
        <w:t>C</w:t>
      </w:r>
      <w:r w:rsidR="008A67D9" w:rsidRPr="000E395D">
        <w:rPr>
          <w:rFonts w:ascii="Arial" w:hAnsi="Arial" w:cs="Arial"/>
          <w:b/>
          <w:bCs/>
          <w:u w:val="single"/>
          <w:lang w:eastAsia="zh-CN"/>
        </w:rPr>
        <w:t>onditional handover</w:t>
      </w:r>
      <w:r>
        <w:rPr>
          <w:rFonts w:ascii="Arial" w:hAnsi="Arial" w:cs="Arial"/>
          <w:lang w:eastAsia="zh-CN"/>
        </w:rPr>
        <w:t xml:space="preserve"> </w:t>
      </w:r>
      <w:r w:rsidR="000E395D">
        <w:rPr>
          <w:rFonts w:ascii="Arial" w:hAnsi="Arial" w:cs="Arial"/>
          <w:lang w:eastAsia="zh-CN"/>
        </w:rPr>
        <w:t>was</w:t>
      </w:r>
      <w:r>
        <w:rPr>
          <w:rFonts w:ascii="Arial" w:hAnsi="Arial" w:cs="Arial"/>
          <w:lang w:eastAsia="zh-CN"/>
        </w:rPr>
        <w:t xml:space="preserve"> designed in Rel-16 to make </w:t>
      </w:r>
      <w:r w:rsidRPr="000E395D">
        <w:rPr>
          <w:rFonts w:ascii="Arial" w:hAnsi="Arial" w:cs="Arial"/>
          <w:b/>
          <w:bCs/>
          <w:u w:val="single"/>
          <w:lang w:eastAsia="zh-CN"/>
        </w:rPr>
        <w:t>mobility more robust</w:t>
      </w:r>
      <w:r>
        <w:rPr>
          <w:rFonts w:ascii="Arial" w:hAnsi="Arial" w:cs="Arial"/>
          <w:lang w:eastAsia="zh-CN"/>
        </w:rPr>
        <w:t xml:space="preserve">. </w:t>
      </w:r>
      <w:r w:rsidR="000E395D">
        <w:rPr>
          <w:rFonts w:ascii="Arial" w:hAnsi="Arial" w:cs="Arial"/>
          <w:lang w:eastAsia="zh-CN"/>
        </w:rPr>
        <w:t>Thus, CHO is a mobility procedure and, in principle, should not be considered. CHO operation is shortly described in [1].</w:t>
      </w:r>
    </w:p>
    <w:p w14:paraId="7E53BCAF" w14:textId="47B080DB" w:rsidR="000E395D" w:rsidRDefault="000E395D" w:rsidP="009652CC">
      <w:pPr>
        <w:rPr>
          <w:rFonts w:ascii="Arial" w:hAnsi="Arial" w:cs="Arial"/>
          <w:lang w:eastAsia="zh-CN"/>
        </w:rPr>
      </w:pPr>
      <w:r>
        <w:rPr>
          <w:rFonts w:ascii="Arial" w:hAnsi="Arial" w:cs="Arial"/>
          <w:lang w:eastAsia="zh-CN"/>
        </w:rPr>
        <w:t>In Rel</w:t>
      </w:r>
      <w:r w:rsidR="00DB5EEC">
        <w:rPr>
          <w:rFonts w:ascii="Arial" w:hAnsi="Arial" w:cs="Arial"/>
          <w:lang w:eastAsia="zh-CN"/>
        </w:rPr>
        <w:t>-</w:t>
      </w:r>
      <w:r>
        <w:rPr>
          <w:rFonts w:ascii="Arial" w:hAnsi="Arial" w:cs="Arial"/>
          <w:lang w:eastAsia="zh-CN"/>
        </w:rPr>
        <w:t>16, RAN2 agreed that it would not restrict the combination of IAB with other Rel</w:t>
      </w:r>
      <w:r w:rsidR="00DB5EEC">
        <w:rPr>
          <w:rFonts w:ascii="Arial" w:hAnsi="Arial" w:cs="Arial"/>
          <w:lang w:eastAsia="zh-CN"/>
        </w:rPr>
        <w:t>-</w:t>
      </w:r>
      <w:r>
        <w:rPr>
          <w:rFonts w:ascii="Arial" w:hAnsi="Arial" w:cs="Arial"/>
          <w:lang w:eastAsia="zh-CN"/>
        </w:rPr>
        <w:t xml:space="preserve">15/16 features; however, </w:t>
      </w:r>
      <w:r w:rsidR="00BE190E">
        <w:rPr>
          <w:rFonts w:ascii="Arial" w:hAnsi="Arial" w:cs="Arial"/>
          <w:lang w:eastAsia="zh-CN"/>
        </w:rPr>
        <w:t xml:space="preserve">RAN2 </w:t>
      </w:r>
      <w:r>
        <w:rPr>
          <w:rFonts w:ascii="Arial" w:hAnsi="Arial" w:cs="Arial"/>
          <w:lang w:eastAsia="zh-CN"/>
        </w:rPr>
        <w:t>will not do any specification work to fix any problems arisen from a broken feature combination. This means that, from a RAN2 point of view, CHO could potentially be used and</w:t>
      </w:r>
      <w:r w:rsidR="002C16A2">
        <w:rPr>
          <w:rFonts w:ascii="Arial" w:hAnsi="Arial" w:cs="Arial"/>
          <w:lang w:eastAsia="zh-CN"/>
        </w:rPr>
        <w:t xml:space="preserve">, therefore, </w:t>
      </w:r>
      <w:r>
        <w:rPr>
          <w:rFonts w:ascii="Arial" w:hAnsi="Arial" w:cs="Arial"/>
          <w:lang w:eastAsia="zh-CN"/>
        </w:rPr>
        <w:t>RAN2 does not need to do anything further.</w:t>
      </w:r>
      <w:r w:rsidR="004F158D">
        <w:rPr>
          <w:rFonts w:ascii="Arial" w:hAnsi="Arial" w:cs="Arial"/>
          <w:lang w:eastAsia="zh-CN"/>
        </w:rPr>
        <w:t xml:space="preserve"> </w:t>
      </w:r>
    </w:p>
    <w:p w14:paraId="18D94F3B" w14:textId="760DC007" w:rsidR="000E395D" w:rsidRDefault="000E395D" w:rsidP="00130F1F">
      <w:pPr>
        <w:pStyle w:val="Observation"/>
        <w:jc w:val="left"/>
        <w:rPr>
          <w:lang w:eastAsia="zh-CN"/>
        </w:rPr>
      </w:pPr>
      <w:bookmarkStart w:id="18" w:name="_Toc61555518"/>
      <w:r>
        <w:rPr>
          <w:lang w:eastAsia="zh-CN"/>
        </w:rPr>
        <w:t>From a RAN2 point of view, the two features IAB and CHO can be supported and configured and, therefore, RAN2 does not need to do anything further.</w:t>
      </w:r>
      <w:bookmarkEnd w:id="18"/>
    </w:p>
    <w:p w14:paraId="088CD597" w14:textId="112DB996" w:rsidR="00A2769E" w:rsidRDefault="00CC4C70" w:rsidP="00A2769E">
      <w:pPr>
        <w:rPr>
          <w:rFonts w:ascii="Arial" w:hAnsi="Arial" w:cs="Arial"/>
        </w:rPr>
      </w:pPr>
      <w:r w:rsidRPr="00CC4C70">
        <w:rPr>
          <w:rFonts w:ascii="Arial" w:hAnsi="Arial" w:cs="Arial"/>
          <w:lang w:eastAsia="zh-CN"/>
        </w:rPr>
        <w:t xml:space="preserve">For example, taking a closer look at the specification, </w:t>
      </w:r>
      <w:r>
        <w:rPr>
          <w:rFonts w:ascii="Arial" w:hAnsi="Arial" w:cs="Arial"/>
          <w:lang w:eastAsia="zh-CN"/>
        </w:rPr>
        <w:t xml:space="preserve">it </w:t>
      </w:r>
      <w:r>
        <w:rPr>
          <w:rFonts w:ascii="Arial" w:hAnsi="Arial" w:cs="Arial"/>
        </w:rPr>
        <w:t xml:space="preserve">is already specified that the </w:t>
      </w:r>
      <w:r w:rsidRPr="001C4A0D">
        <w:rPr>
          <w:rFonts w:ascii="Arial" w:hAnsi="Arial" w:cs="Arial"/>
        </w:rPr>
        <w:t xml:space="preserve">IAB node </w:t>
      </w:r>
      <w:r>
        <w:rPr>
          <w:rFonts w:ascii="Arial" w:hAnsi="Arial" w:cs="Arial"/>
        </w:rPr>
        <w:t>configured with CHO will</w:t>
      </w:r>
      <w:r w:rsidRPr="001C4A0D">
        <w:rPr>
          <w:rFonts w:ascii="Arial" w:hAnsi="Arial" w:cs="Arial"/>
        </w:rPr>
        <w:t xml:space="preserve"> </w:t>
      </w:r>
      <w:r>
        <w:rPr>
          <w:rFonts w:ascii="Arial" w:hAnsi="Arial" w:cs="Arial"/>
        </w:rPr>
        <w:t>execute</w:t>
      </w:r>
      <w:r w:rsidRPr="001C4A0D">
        <w:rPr>
          <w:rFonts w:ascii="Arial" w:hAnsi="Arial" w:cs="Arial"/>
        </w:rPr>
        <w:t xml:space="preserve"> a CHO upon RLF declared in a link towards a parent node, or upon reception of BH RLF indication from the parent node</w:t>
      </w:r>
      <w:r>
        <w:rPr>
          <w:rFonts w:ascii="Arial" w:hAnsi="Arial" w:cs="Arial"/>
        </w:rPr>
        <w:t>.</w:t>
      </w:r>
      <w:r w:rsidR="005902D9">
        <w:rPr>
          <w:rFonts w:ascii="Arial" w:hAnsi="Arial" w:cs="Arial"/>
        </w:rPr>
        <w:t xml:space="preserve"> In particular, as outlined in the following excerpt from TS 38.331, the IAB node configured with CHO will perform the following steps:</w:t>
      </w:r>
    </w:p>
    <w:p w14:paraId="2245A114" w14:textId="5070E707" w:rsidR="005902D9" w:rsidRPr="00F448A3" w:rsidRDefault="005902D9" w:rsidP="005902D9">
      <w:pPr>
        <w:pStyle w:val="ListParagraph"/>
        <w:numPr>
          <w:ilvl w:val="0"/>
          <w:numId w:val="31"/>
        </w:numPr>
        <w:rPr>
          <w:rFonts w:ascii="Arial" w:hAnsi="Arial" w:cs="Arial"/>
          <w:sz w:val="20"/>
          <w:szCs w:val="20"/>
        </w:rPr>
      </w:pPr>
      <w:r w:rsidRPr="00F448A3">
        <w:rPr>
          <w:rFonts w:ascii="Arial" w:hAnsi="Arial" w:cs="Arial"/>
          <w:sz w:val="20"/>
          <w:szCs w:val="20"/>
          <w:lang w:val="en-US"/>
        </w:rPr>
        <w:t>Declare RLF for the link towards a parent IAB node, or receive BH RLF indication from the parent</w:t>
      </w:r>
    </w:p>
    <w:p w14:paraId="165BDD86" w14:textId="2633197A" w:rsidR="005902D9" w:rsidRPr="00F448A3" w:rsidRDefault="005902D9" w:rsidP="005902D9">
      <w:pPr>
        <w:pStyle w:val="ListParagraph"/>
        <w:numPr>
          <w:ilvl w:val="0"/>
          <w:numId w:val="31"/>
        </w:numPr>
        <w:rPr>
          <w:rFonts w:ascii="Arial" w:hAnsi="Arial" w:cs="Arial"/>
          <w:sz w:val="20"/>
          <w:szCs w:val="20"/>
        </w:rPr>
      </w:pPr>
      <w:r w:rsidRPr="00F448A3">
        <w:rPr>
          <w:rFonts w:ascii="Arial" w:hAnsi="Arial" w:cs="Arial"/>
          <w:sz w:val="20"/>
          <w:szCs w:val="20"/>
        </w:rPr>
        <w:t>Initiate a co</w:t>
      </w:r>
      <w:r w:rsidRPr="00F448A3">
        <w:rPr>
          <w:rFonts w:ascii="Arial" w:hAnsi="Arial" w:cs="Arial"/>
          <w:sz w:val="20"/>
          <w:szCs w:val="20"/>
          <w:lang w:val="en-US"/>
        </w:rPr>
        <w:t>nnection re-establishment procedure</w:t>
      </w:r>
    </w:p>
    <w:p w14:paraId="116512F9" w14:textId="586101CC" w:rsidR="005902D9" w:rsidRPr="00F448A3" w:rsidRDefault="005902D9" w:rsidP="00130F1F">
      <w:pPr>
        <w:pStyle w:val="ListParagraph"/>
        <w:numPr>
          <w:ilvl w:val="0"/>
          <w:numId w:val="31"/>
        </w:numPr>
        <w:jc w:val="both"/>
        <w:rPr>
          <w:rFonts w:ascii="Arial" w:hAnsi="Arial" w:cs="Arial"/>
          <w:sz w:val="20"/>
          <w:szCs w:val="20"/>
        </w:rPr>
      </w:pPr>
      <w:r w:rsidRPr="00F448A3">
        <w:rPr>
          <w:rFonts w:ascii="Arial" w:hAnsi="Arial" w:cs="Arial"/>
          <w:sz w:val="20"/>
          <w:szCs w:val="20"/>
        </w:rPr>
        <w:t>Perform cell selection accor</w:t>
      </w:r>
      <w:r w:rsidRPr="00F448A3">
        <w:rPr>
          <w:rFonts w:ascii="Arial" w:hAnsi="Arial" w:cs="Arial"/>
          <w:sz w:val="20"/>
          <w:szCs w:val="20"/>
          <w:lang w:val="en-US"/>
        </w:rPr>
        <w:t>ding to TS 38.304 rules</w:t>
      </w:r>
    </w:p>
    <w:p w14:paraId="75509890" w14:textId="7971B88A" w:rsidR="005902D9" w:rsidRPr="00F448A3" w:rsidRDefault="005902D9" w:rsidP="00130F1F">
      <w:pPr>
        <w:pStyle w:val="ListParagraph"/>
        <w:numPr>
          <w:ilvl w:val="0"/>
          <w:numId w:val="31"/>
        </w:numPr>
        <w:jc w:val="both"/>
        <w:rPr>
          <w:rFonts w:ascii="Arial" w:hAnsi="Arial" w:cs="Arial"/>
          <w:sz w:val="20"/>
          <w:szCs w:val="20"/>
        </w:rPr>
      </w:pPr>
      <w:r w:rsidRPr="00F448A3">
        <w:rPr>
          <w:rFonts w:ascii="Arial" w:hAnsi="Arial" w:cs="Arial"/>
          <w:sz w:val="20"/>
          <w:szCs w:val="20"/>
          <w:lang w:val="en-US"/>
        </w:rPr>
        <w:t>Apply the CHO configuration if the selected cell was in the list of candidate target cells.</w:t>
      </w:r>
    </w:p>
    <w:p w14:paraId="1AC18E21" w14:textId="77777777" w:rsidR="005902D9" w:rsidRPr="003252C6" w:rsidRDefault="005902D9" w:rsidP="003252C6">
      <w:pPr>
        <w:ind w:left="360"/>
        <w:rPr>
          <w:rFonts w:ascii="Arial" w:hAnsi="Arial" w:cs="Arial"/>
        </w:rPr>
      </w:pPr>
    </w:p>
    <w:tbl>
      <w:tblPr>
        <w:tblStyle w:val="TableGrid"/>
        <w:tblW w:w="0" w:type="auto"/>
        <w:tblLook w:val="04A0" w:firstRow="1" w:lastRow="0" w:firstColumn="1" w:lastColumn="0" w:noHBand="0" w:noVBand="1"/>
      </w:tblPr>
      <w:tblGrid>
        <w:gridCol w:w="9629"/>
      </w:tblGrid>
      <w:tr w:rsidR="009725C7" w14:paraId="4F4F0174" w14:textId="77777777" w:rsidTr="009725C7">
        <w:tc>
          <w:tcPr>
            <w:tcW w:w="9629" w:type="dxa"/>
          </w:tcPr>
          <w:p w14:paraId="3C68711D" w14:textId="77777777" w:rsidR="009725C7" w:rsidRDefault="009725C7" w:rsidP="009725C7">
            <w:pPr>
              <w:pStyle w:val="Heading4"/>
              <w:ind w:left="0" w:firstLine="0"/>
              <w:outlineLvl w:val="3"/>
              <w:rPr>
                <w:rFonts w:eastAsia="MS Mincho"/>
                <w:lang w:val="en-US" w:eastAsia="en-US"/>
              </w:rPr>
            </w:pPr>
            <w:bookmarkStart w:id="19" w:name="_Hlk43702702"/>
            <w:bookmarkStart w:id="20" w:name="_Toc53006327"/>
            <w:bookmarkStart w:id="21" w:name="_Toc52837687"/>
            <w:bookmarkStart w:id="22" w:name="_Toc52836679"/>
            <w:bookmarkStart w:id="23" w:name="_Toc46486801"/>
            <w:bookmarkStart w:id="24" w:name="_Toc46444040"/>
            <w:bookmarkStart w:id="25" w:name="_Toc46439203"/>
            <w:r>
              <w:rPr>
                <w:lang w:val="en-US"/>
              </w:rPr>
              <w:lastRenderedPageBreak/>
              <w:t>5.3.10.3</w:t>
            </w:r>
            <w:bookmarkEnd w:id="19"/>
            <w:r>
              <w:rPr>
                <w:lang w:val="en-US"/>
              </w:rPr>
              <w:tab/>
              <w:t>Detection of radio link failure</w:t>
            </w:r>
            <w:bookmarkEnd w:id="20"/>
            <w:bookmarkEnd w:id="21"/>
            <w:bookmarkEnd w:id="22"/>
            <w:bookmarkEnd w:id="23"/>
            <w:bookmarkEnd w:id="24"/>
            <w:bookmarkEnd w:id="25"/>
          </w:p>
          <w:p w14:paraId="0DC83856" w14:textId="77777777" w:rsidR="009725C7" w:rsidRDefault="009725C7" w:rsidP="009725C7">
            <w:pPr>
              <w:rPr>
                <w:rFonts w:eastAsia="MS Mincho"/>
                <w:lang w:val="en-US"/>
              </w:rPr>
            </w:pPr>
            <w:r>
              <w:rPr>
                <w:lang w:val="en-US"/>
              </w:rPr>
              <w:t>The UE shall:</w:t>
            </w:r>
          </w:p>
          <w:p w14:paraId="5525E3B4" w14:textId="77777777" w:rsidR="009725C7" w:rsidRDefault="009725C7" w:rsidP="009725C7">
            <w:pPr>
              <w:pStyle w:val="B3"/>
              <w:rPr>
                <w:rFonts w:eastAsiaTheme="minorHAnsi"/>
                <w:lang w:val="zh-CN" w:eastAsia="zh-CN"/>
              </w:rPr>
            </w:pPr>
            <w:r>
              <w:rPr>
                <w:lang w:val="en-US"/>
              </w:rPr>
              <w:t>………</w:t>
            </w:r>
          </w:p>
          <w:p w14:paraId="19513F94" w14:textId="77777777" w:rsidR="009725C7" w:rsidRPr="00D96C74" w:rsidRDefault="009725C7" w:rsidP="009725C7">
            <w:pPr>
              <w:pStyle w:val="B2"/>
            </w:pPr>
            <w:r w:rsidRPr="00D96C74">
              <w:t>2&gt;</w:t>
            </w:r>
            <w:r w:rsidRPr="00D96C74">
              <w:tab/>
              <w:t>upon T310 expiry in PCell; or</w:t>
            </w:r>
          </w:p>
          <w:p w14:paraId="5D00D639" w14:textId="77777777" w:rsidR="009725C7" w:rsidRPr="00D96C74" w:rsidRDefault="009725C7" w:rsidP="009725C7">
            <w:pPr>
              <w:pStyle w:val="B2"/>
            </w:pPr>
            <w:r w:rsidRPr="00D96C74">
              <w:t>2&gt;</w:t>
            </w:r>
            <w:r w:rsidRPr="00D96C74">
              <w:tab/>
              <w:t>upon T312 expiry in PCell; or</w:t>
            </w:r>
          </w:p>
          <w:p w14:paraId="04273129" w14:textId="77777777" w:rsidR="009725C7" w:rsidRPr="00D96C74" w:rsidRDefault="009725C7" w:rsidP="009725C7">
            <w:pPr>
              <w:pStyle w:val="B2"/>
            </w:pPr>
            <w:r w:rsidRPr="00D96C74">
              <w:t>2&gt;</w:t>
            </w:r>
            <w:r w:rsidRPr="00D96C74">
              <w:tab/>
              <w:t>upon random access problem indication from MCG MAC while neither T300, T301, T304, T311 nor T319 are running; or</w:t>
            </w:r>
          </w:p>
          <w:p w14:paraId="6E95AD4F" w14:textId="77777777" w:rsidR="009725C7" w:rsidRPr="00D96C74" w:rsidRDefault="009725C7" w:rsidP="009725C7">
            <w:pPr>
              <w:pStyle w:val="B2"/>
            </w:pPr>
            <w:r w:rsidRPr="00D96C74">
              <w:t>2&gt;</w:t>
            </w:r>
            <w:r w:rsidRPr="00D96C74">
              <w:tab/>
              <w:t>upon indication from MCG RLC that the maximum number of retransmissions has been reached; or</w:t>
            </w:r>
          </w:p>
          <w:p w14:paraId="7F26B179" w14:textId="77777777" w:rsidR="009725C7" w:rsidRPr="00D96C74" w:rsidRDefault="009725C7" w:rsidP="009725C7">
            <w:pPr>
              <w:pStyle w:val="B2"/>
            </w:pPr>
            <w:r w:rsidRPr="00D96C74">
              <w:t>2&gt;</w:t>
            </w:r>
            <w:r w:rsidRPr="00D96C74">
              <w:tab/>
            </w:r>
            <w:r w:rsidRPr="00C771AE">
              <w:rPr>
                <w:highlight w:val="yellow"/>
              </w:rPr>
              <w:t>if connected as an IAB-node, upon BH RLF indication received on BAP entity from the MCG;</w:t>
            </w:r>
            <w:r w:rsidRPr="00D96C74">
              <w:t xml:space="preserve"> or</w:t>
            </w:r>
          </w:p>
          <w:p w14:paraId="0A735FE1" w14:textId="77777777" w:rsidR="009725C7" w:rsidRPr="00D96C74" w:rsidRDefault="009725C7" w:rsidP="009725C7">
            <w:pPr>
              <w:pStyle w:val="B2"/>
            </w:pPr>
            <w:r w:rsidRPr="00D96C74">
              <w:t>2&gt;</w:t>
            </w:r>
            <w:r w:rsidRPr="00D96C74">
              <w:tab/>
              <w:t>upon consistent uplink LBT failure indication from MCG MAC while T304 is not running:</w:t>
            </w:r>
          </w:p>
          <w:p w14:paraId="1F409764" w14:textId="77777777" w:rsidR="009725C7" w:rsidRDefault="009725C7" w:rsidP="009725C7">
            <w:pPr>
              <w:pStyle w:val="B5"/>
              <w:rPr>
                <w:lang w:val="en-US"/>
              </w:rPr>
            </w:pPr>
            <w:r>
              <w:rPr>
                <w:lang w:val="en-US"/>
              </w:rPr>
              <w:t>……</w:t>
            </w:r>
          </w:p>
          <w:p w14:paraId="0BFC8FAD" w14:textId="77777777" w:rsidR="009725C7" w:rsidRDefault="009725C7" w:rsidP="009725C7">
            <w:pPr>
              <w:pStyle w:val="B6"/>
              <w:rPr>
                <w:lang w:val="en-GB"/>
              </w:rPr>
            </w:pPr>
            <w:r>
              <w:rPr>
                <w:highlight w:val="yellow"/>
                <w:lang w:val="en-GB"/>
              </w:rPr>
              <w:t>6&gt;</w:t>
            </w:r>
            <w:r>
              <w:rPr>
                <w:highlight w:val="yellow"/>
                <w:lang w:val="en-GB"/>
              </w:rPr>
              <w:tab/>
              <w:t>initiate the connection re-establishment procedure as specified in 5.3.7.</w:t>
            </w:r>
          </w:p>
          <w:p w14:paraId="7320AA19" w14:textId="77777777" w:rsidR="009725C7" w:rsidRDefault="009725C7" w:rsidP="009725C7">
            <w:pPr>
              <w:pStyle w:val="Heading3"/>
              <w:outlineLvl w:val="2"/>
              <w:rPr>
                <w:rFonts w:eastAsia="MS Mincho"/>
                <w:lang w:val="en-US"/>
              </w:rPr>
            </w:pPr>
            <w:bookmarkStart w:id="26" w:name="_Toc53006306"/>
            <w:bookmarkStart w:id="27" w:name="_Toc52837666"/>
            <w:bookmarkStart w:id="28" w:name="_Toc52836658"/>
            <w:bookmarkStart w:id="29" w:name="_Toc46486780"/>
            <w:bookmarkStart w:id="30" w:name="_Toc46444019"/>
            <w:bookmarkStart w:id="31" w:name="_Toc46439182"/>
            <w:r>
              <w:rPr>
                <w:rFonts w:eastAsia="MS Mincho"/>
                <w:lang w:val="en-US"/>
              </w:rPr>
              <w:t>5.3.7</w:t>
            </w:r>
            <w:r>
              <w:rPr>
                <w:rFonts w:eastAsia="MS Mincho"/>
                <w:lang w:val="en-US"/>
              </w:rPr>
              <w:tab/>
              <w:t>RRC connection re-establishment</w:t>
            </w:r>
            <w:bookmarkEnd w:id="26"/>
            <w:bookmarkEnd w:id="27"/>
            <w:bookmarkEnd w:id="28"/>
            <w:bookmarkEnd w:id="29"/>
            <w:bookmarkEnd w:id="30"/>
            <w:bookmarkEnd w:id="31"/>
          </w:p>
          <w:p w14:paraId="472A8182" w14:textId="77777777" w:rsidR="009725C7" w:rsidRDefault="009725C7" w:rsidP="009725C7">
            <w:pPr>
              <w:rPr>
                <w:rFonts w:eastAsiaTheme="minorHAnsi"/>
                <w:b/>
                <w:bCs/>
                <w:lang w:val="en-US"/>
              </w:rPr>
            </w:pPr>
            <w:r>
              <w:rPr>
                <w:b/>
                <w:bCs/>
                <w:lang w:val="en-US"/>
              </w:rPr>
              <w:t>……..</w:t>
            </w:r>
          </w:p>
          <w:p w14:paraId="44B73EF4" w14:textId="77777777" w:rsidR="009725C7" w:rsidRDefault="009725C7" w:rsidP="009725C7">
            <w:pPr>
              <w:pStyle w:val="B1"/>
              <w:rPr>
                <w:lang w:val="en-US"/>
              </w:rPr>
            </w:pPr>
            <w:r>
              <w:rPr>
                <w:highlight w:val="yellow"/>
                <w:lang w:val="en-US"/>
              </w:rPr>
              <w:t>1&gt;</w:t>
            </w:r>
            <w:r>
              <w:rPr>
                <w:highlight w:val="yellow"/>
                <w:lang w:val="en-US"/>
              </w:rPr>
              <w:tab/>
              <w:t>perform cell selection in accordance with the cell selection process as specified in TS 38.304 [20], clause 5.2.6.</w:t>
            </w:r>
          </w:p>
          <w:p w14:paraId="44F6F19B" w14:textId="77777777" w:rsidR="009725C7" w:rsidRDefault="009725C7" w:rsidP="009725C7">
            <w:pPr>
              <w:pStyle w:val="Heading4"/>
              <w:ind w:left="0" w:firstLine="0"/>
              <w:outlineLvl w:val="3"/>
              <w:rPr>
                <w:lang w:val="en-US"/>
              </w:rPr>
            </w:pPr>
            <w:bookmarkStart w:id="32" w:name="_Toc53006309"/>
            <w:bookmarkStart w:id="33" w:name="_Toc52837669"/>
            <w:bookmarkStart w:id="34" w:name="_Toc52836661"/>
            <w:bookmarkStart w:id="35" w:name="_Toc46486783"/>
            <w:bookmarkStart w:id="36" w:name="_Toc46444022"/>
            <w:bookmarkStart w:id="37" w:name="_Toc46439185"/>
            <w:r>
              <w:rPr>
                <w:lang w:val="en-US"/>
              </w:rPr>
              <w:t>5.3.7.3</w:t>
            </w:r>
            <w:r>
              <w:rPr>
                <w:lang w:val="en-US"/>
              </w:rPr>
              <w:tab/>
              <w:t>Actions following cell selection while T311 is running</w:t>
            </w:r>
            <w:bookmarkEnd w:id="32"/>
            <w:bookmarkEnd w:id="33"/>
            <w:bookmarkEnd w:id="34"/>
            <w:bookmarkEnd w:id="35"/>
            <w:bookmarkEnd w:id="36"/>
            <w:bookmarkEnd w:id="37"/>
          </w:p>
          <w:p w14:paraId="509F8E6A" w14:textId="77777777" w:rsidR="009725C7" w:rsidRDefault="009725C7" w:rsidP="009725C7">
            <w:pPr>
              <w:rPr>
                <w:lang w:val="en-US"/>
              </w:rPr>
            </w:pPr>
            <w:r>
              <w:rPr>
                <w:lang w:val="en-US"/>
              </w:rPr>
              <w:t>Upon selecting a suitable NR cell, the UE shall:</w:t>
            </w:r>
          </w:p>
          <w:p w14:paraId="142760D0" w14:textId="77777777" w:rsidR="009725C7" w:rsidRDefault="009725C7" w:rsidP="009725C7">
            <w:pPr>
              <w:pStyle w:val="B1"/>
              <w:rPr>
                <w:lang w:val="en-US"/>
              </w:rPr>
            </w:pPr>
            <w:r>
              <w:rPr>
                <w:lang w:val="en-US"/>
              </w:rPr>
              <w:t>…..</w:t>
            </w:r>
          </w:p>
          <w:p w14:paraId="45B9B90B" w14:textId="77777777" w:rsidR="009725C7" w:rsidRDefault="009725C7" w:rsidP="009725C7">
            <w:pPr>
              <w:pStyle w:val="B1"/>
              <w:rPr>
                <w:lang w:val="en-US"/>
              </w:rPr>
            </w:pPr>
            <w:r>
              <w:rPr>
                <w:lang w:val="en-US"/>
              </w:rPr>
              <w:t>1&gt;</w:t>
            </w:r>
            <w:r>
              <w:rPr>
                <w:lang w:val="en-US"/>
              </w:rPr>
              <w:tab/>
              <w:t xml:space="preserve">if </w:t>
            </w:r>
            <w:r>
              <w:rPr>
                <w:i/>
                <w:lang w:val="en-US"/>
              </w:rPr>
              <w:t>attemptCondReconfig</w:t>
            </w:r>
            <w:r>
              <w:rPr>
                <w:lang w:val="en-US"/>
              </w:rPr>
              <w:t xml:space="preserve"> is configured; and</w:t>
            </w:r>
          </w:p>
          <w:p w14:paraId="00FCBEA8" w14:textId="77777777" w:rsidR="009725C7" w:rsidRDefault="009725C7" w:rsidP="009725C7">
            <w:pPr>
              <w:pStyle w:val="B1"/>
              <w:rPr>
                <w:lang w:val="en-US"/>
              </w:rPr>
            </w:pPr>
            <w:r>
              <w:rPr>
                <w:lang w:val="en-US"/>
              </w:rPr>
              <w:t>1&gt;</w:t>
            </w:r>
            <w:r>
              <w:rPr>
                <w:lang w:val="en-US"/>
              </w:rPr>
              <w:tab/>
              <w:t>if the selected cell is one of the candidate cells for which the</w:t>
            </w:r>
            <w:r>
              <w:rPr>
                <w:i/>
                <w:iCs/>
                <w:lang w:val="en-US"/>
              </w:rPr>
              <w:t xml:space="preserve"> reconfigurationWithSync</w:t>
            </w:r>
            <w:r>
              <w:rPr>
                <w:lang w:val="en-US"/>
              </w:rPr>
              <w:t xml:space="preserve"> is included in the </w:t>
            </w:r>
            <w:r>
              <w:rPr>
                <w:i/>
                <w:lang w:val="en-US"/>
              </w:rPr>
              <w:t>masterCellGroup</w:t>
            </w:r>
            <w:r>
              <w:rPr>
                <w:lang w:val="en-US"/>
              </w:rPr>
              <w:t xml:space="preserve"> in </w:t>
            </w:r>
            <w:r>
              <w:rPr>
                <w:i/>
                <w:lang w:val="en-US"/>
              </w:rPr>
              <w:t>VarConditionalReconfig</w:t>
            </w:r>
            <w:r>
              <w:rPr>
                <w:lang w:val="en-US"/>
              </w:rPr>
              <w:t>:</w:t>
            </w:r>
          </w:p>
          <w:p w14:paraId="7B2AD678" w14:textId="77777777" w:rsidR="009725C7" w:rsidRDefault="009725C7" w:rsidP="009725C7">
            <w:pPr>
              <w:pStyle w:val="B2"/>
              <w:rPr>
                <w:lang w:val="en-US"/>
              </w:rPr>
            </w:pPr>
            <w:r>
              <w:rPr>
                <w:highlight w:val="yellow"/>
                <w:lang w:val="en-US"/>
              </w:rPr>
              <w:t>2&gt;</w:t>
            </w:r>
            <w:r>
              <w:rPr>
                <w:highlight w:val="yellow"/>
                <w:lang w:val="en-US"/>
              </w:rPr>
              <w:tab/>
              <w:t xml:space="preserve">apply the stored </w:t>
            </w:r>
            <w:r>
              <w:rPr>
                <w:i/>
                <w:highlight w:val="yellow"/>
                <w:lang w:val="en-US"/>
              </w:rPr>
              <w:t xml:space="preserve">condRRCReconfig </w:t>
            </w:r>
            <w:r>
              <w:rPr>
                <w:highlight w:val="yellow"/>
                <w:lang w:val="en-US"/>
              </w:rPr>
              <w:t>associated to the selected cell and perform actions as specified in 5.3.5.3;</w:t>
            </w:r>
          </w:p>
          <w:p w14:paraId="4C4A092E" w14:textId="77777777" w:rsidR="009725C7" w:rsidRPr="009725C7" w:rsidRDefault="009725C7" w:rsidP="00A2769E">
            <w:pPr>
              <w:rPr>
                <w:rFonts w:ascii="Arial" w:hAnsi="Arial" w:cs="Arial"/>
                <w:lang w:val="en-US" w:eastAsia="zh-CN"/>
              </w:rPr>
            </w:pPr>
          </w:p>
        </w:tc>
      </w:tr>
    </w:tbl>
    <w:p w14:paraId="086819D6" w14:textId="77777777" w:rsidR="009725C7" w:rsidRDefault="009725C7" w:rsidP="00A2769E">
      <w:pPr>
        <w:rPr>
          <w:rFonts w:ascii="Arial" w:hAnsi="Arial" w:cs="Arial"/>
          <w:lang w:eastAsia="zh-CN"/>
        </w:rPr>
      </w:pPr>
    </w:p>
    <w:p w14:paraId="3F4582A7" w14:textId="75E32D19" w:rsidR="003252C6" w:rsidRPr="00CC4C70" w:rsidRDefault="004557ED" w:rsidP="00262EE4">
      <w:pPr>
        <w:pStyle w:val="Observation"/>
        <w:jc w:val="left"/>
        <w:rPr>
          <w:lang w:eastAsia="zh-CN"/>
        </w:rPr>
      </w:pPr>
      <w:bookmarkStart w:id="38" w:name="_Toc61555519"/>
      <w:r>
        <w:rPr>
          <w:lang w:eastAsia="zh-CN"/>
        </w:rPr>
        <w:t>According to the Rel</w:t>
      </w:r>
      <w:r w:rsidR="000E28B8">
        <w:rPr>
          <w:lang w:eastAsia="zh-CN"/>
        </w:rPr>
        <w:t>-</w:t>
      </w:r>
      <w:r>
        <w:rPr>
          <w:lang w:eastAsia="zh-CN"/>
        </w:rPr>
        <w:t>16 specification</w:t>
      </w:r>
      <w:r w:rsidR="00A058C1">
        <w:rPr>
          <w:lang w:eastAsia="zh-CN"/>
        </w:rPr>
        <w:t>s</w:t>
      </w:r>
      <w:r>
        <w:rPr>
          <w:lang w:eastAsia="zh-CN"/>
        </w:rPr>
        <w:t xml:space="preserve">, if an IAB node is configured with CHO, it can execute a CHO upon declaring RLF </w:t>
      </w:r>
      <w:r w:rsidR="006E0132">
        <w:rPr>
          <w:lang w:eastAsia="zh-CN"/>
        </w:rPr>
        <w:t>o</w:t>
      </w:r>
      <w:r>
        <w:rPr>
          <w:lang w:eastAsia="zh-CN"/>
        </w:rPr>
        <w:t>n the link towards the parent node, or upon receiving a BH RLF indication from the parent</w:t>
      </w:r>
      <w:r w:rsidR="00A058C1">
        <w:rPr>
          <w:lang w:eastAsia="zh-CN"/>
        </w:rPr>
        <w:t xml:space="preserve"> node</w:t>
      </w:r>
      <w:r>
        <w:rPr>
          <w:lang w:eastAsia="zh-CN"/>
        </w:rPr>
        <w:t>.</w:t>
      </w:r>
      <w:bookmarkEnd w:id="38"/>
    </w:p>
    <w:p w14:paraId="006AC6D5" w14:textId="27461045" w:rsidR="000E395D" w:rsidRDefault="0006598B" w:rsidP="000E395D">
      <w:pPr>
        <w:pStyle w:val="Heading4"/>
        <w:rPr>
          <w:lang w:eastAsia="zh-CN"/>
        </w:rPr>
      </w:pPr>
      <w:r>
        <w:rPr>
          <w:lang w:eastAsia="zh-CN"/>
        </w:rPr>
        <w:t>2.</w:t>
      </w:r>
      <w:r w:rsidR="00A058C1">
        <w:rPr>
          <w:lang w:eastAsia="zh-CN"/>
        </w:rPr>
        <w:t>3</w:t>
      </w:r>
      <w:r>
        <w:rPr>
          <w:lang w:eastAsia="zh-CN"/>
        </w:rPr>
        <w:t>.1.1</w:t>
      </w:r>
      <w:r>
        <w:rPr>
          <w:lang w:eastAsia="zh-CN"/>
        </w:rPr>
        <w:tab/>
      </w:r>
      <w:r w:rsidR="000E395D">
        <w:rPr>
          <w:lang w:eastAsia="zh-CN"/>
        </w:rPr>
        <w:t>RLF and conditional handover</w:t>
      </w:r>
    </w:p>
    <w:p w14:paraId="76361B6E" w14:textId="76C436E3" w:rsidR="000E395D" w:rsidRDefault="000E395D" w:rsidP="00130F1F">
      <w:pPr>
        <w:pStyle w:val="BodyText"/>
        <w:jc w:val="left"/>
        <w:rPr>
          <w:rFonts w:cs="Arial"/>
        </w:rPr>
      </w:pPr>
      <w:r>
        <w:t xml:space="preserve">As we have outlined several times before, RLFs will be rare in a planned and static network. In the hypothetical case that it happens, it could be due to a sudden and total blockage of the transmitter and/or receiver. To be able to perform and recover using CHO, a target cell needs to be already prepared. However, since RLFs cannot be predicted, </w:t>
      </w:r>
      <w:r w:rsidR="004F158D">
        <w:t xml:space="preserve">a large amount of resources would need to be permanently booked in the target cell. </w:t>
      </w:r>
      <w:r w:rsidR="004F158D">
        <w:rPr>
          <w:rFonts w:cs="Arial"/>
        </w:rPr>
        <w:t>Furthermore, as discussed above, it is not reasonable to think that CUs are dimensioned to carry all the traffic from the neighbour CUs in addition to its own.</w:t>
      </w:r>
    </w:p>
    <w:p w14:paraId="606FDC36" w14:textId="2F1EBF45" w:rsidR="004F158D" w:rsidRDefault="004F158D" w:rsidP="00130F1F">
      <w:pPr>
        <w:pStyle w:val="BodyText"/>
        <w:jc w:val="left"/>
        <w:rPr>
          <w:rFonts w:cs="Arial"/>
        </w:rPr>
      </w:pPr>
      <w:bookmarkStart w:id="39" w:name="_Toc61354876"/>
      <w:bookmarkStart w:id="40" w:name="_Toc61544198"/>
      <w:bookmarkStart w:id="41" w:name="_Toc61544229"/>
      <w:bookmarkEnd w:id="39"/>
      <w:bookmarkEnd w:id="40"/>
      <w:bookmarkEnd w:id="41"/>
      <w:r>
        <w:rPr>
          <w:rFonts w:cs="Arial"/>
        </w:rPr>
        <w:t xml:space="preserve">When CHO is performed, all the contexts from all affected IABs and UEs are moved from the source CU to the target CU. All UEs must be reconfigured with new keys and this will result in a massive signalling explosion. Of course, it cannot be expected that the network is capable of managing hundreds of simultaneous reconfigurations and, therefore, there may be a considerable delay until each and all of the </w:t>
      </w:r>
      <w:r>
        <w:rPr>
          <w:rFonts w:cs="Arial"/>
        </w:rPr>
        <w:lastRenderedPageBreak/>
        <w:t>UEs are reconfigured.</w:t>
      </w:r>
      <w:r w:rsidR="00706615">
        <w:rPr>
          <w:rFonts w:cs="Arial"/>
        </w:rPr>
        <w:t xml:space="preserve"> </w:t>
      </w:r>
      <w:r>
        <w:rPr>
          <w:rFonts w:cs="Arial"/>
        </w:rPr>
        <w:t>Further, the reconfiguration of the UEs is only possible when the affected IABs have been reconfigured too.</w:t>
      </w:r>
      <w:r w:rsidR="00706615">
        <w:rPr>
          <w:rFonts w:cs="Arial"/>
        </w:rPr>
        <w:t xml:space="preserve"> A failure in any reconfiguration for an IAB would lead to a blackout. This creates a state in which UEs may end up re-selecting to “normal” cells or taking other actions. </w:t>
      </w:r>
    </w:p>
    <w:p w14:paraId="499C8C7D" w14:textId="4DDF188A" w:rsidR="00655781" w:rsidRDefault="00655781" w:rsidP="00130F1F">
      <w:pPr>
        <w:pStyle w:val="BodyText"/>
        <w:jc w:val="left"/>
        <w:rPr>
          <w:rFonts w:cs="Arial"/>
        </w:rPr>
      </w:pPr>
      <w:r>
        <w:rPr>
          <w:rFonts w:cs="Arial"/>
        </w:rPr>
        <w:t xml:space="preserve">In addition, as indicated in </w:t>
      </w:r>
      <w:r>
        <w:rPr>
          <w:rFonts w:cs="Arial"/>
        </w:rPr>
        <w:fldChar w:fldCharType="begin"/>
      </w:r>
      <w:r>
        <w:rPr>
          <w:rFonts w:cs="Arial"/>
        </w:rPr>
        <w:instrText xml:space="preserve"> REF _Ref59021269 \w \h </w:instrText>
      </w:r>
      <w:r w:rsidR="00130F1F">
        <w:rPr>
          <w:rFonts w:cs="Arial"/>
        </w:rPr>
        <w:instrText xml:space="preserve"> \* MERGEFORMAT </w:instrText>
      </w:r>
      <w:r>
        <w:rPr>
          <w:rFonts w:cs="Arial"/>
        </w:rPr>
      </w:r>
      <w:r>
        <w:rPr>
          <w:rFonts w:cs="Arial"/>
        </w:rPr>
        <w:fldChar w:fldCharType="separate"/>
      </w:r>
      <w:r w:rsidR="00D65263">
        <w:rPr>
          <w:rFonts w:cs="Arial"/>
        </w:rPr>
        <w:t>Observation 4</w:t>
      </w:r>
      <w:r>
        <w:rPr>
          <w:rFonts w:cs="Arial"/>
        </w:rPr>
        <w:fldChar w:fldCharType="end"/>
      </w:r>
      <w:r>
        <w:rPr>
          <w:rFonts w:cs="Arial"/>
        </w:rPr>
        <w:t xml:space="preserve">, </w:t>
      </w:r>
      <w:r w:rsidR="00BB5F6B">
        <w:rPr>
          <w:rFonts w:cs="Arial"/>
        </w:rPr>
        <w:t xml:space="preserve">all </w:t>
      </w:r>
      <w:r w:rsidR="006F4133">
        <w:rPr>
          <w:rFonts w:cs="Arial"/>
        </w:rPr>
        <w:t xml:space="preserve">the </w:t>
      </w:r>
      <w:r w:rsidR="00BB5F6B">
        <w:rPr>
          <w:rFonts w:cs="Arial"/>
        </w:rPr>
        <w:t xml:space="preserve">signalling and impact will happen again when the traffic is routed back to its initial set-up. </w:t>
      </w:r>
    </w:p>
    <w:p w14:paraId="461E5A43" w14:textId="7C7B106F" w:rsidR="00706615" w:rsidRDefault="0038113E" w:rsidP="00130F1F">
      <w:pPr>
        <w:pStyle w:val="Observation"/>
        <w:jc w:val="left"/>
        <w:rPr>
          <w:lang w:eastAsia="zh-CN"/>
        </w:rPr>
      </w:pPr>
      <w:bookmarkStart w:id="42" w:name="_Toc61555520"/>
      <w:r>
        <w:rPr>
          <w:lang w:eastAsia="zh-CN"/>
        </w:rPr>
        <w:t xml:space="preserve">Conditional handover to address RLF </w:t>
      </w:r>
      <w:r w:rsidR="00FA73E1">
        <w:rPr>
          <w:lang w:eastAsia="zh-CN"/>
        </w:rPr>
        <w:t>requ</w:t>
      </w:r>
      <w:r w:rsidR="00814E94">
        <w:rPr>
          <w:lang w:eastAsia="zh-CN"/>
        </w:rPr>
        <w:t>ires over-dimens</w:t>
      </w:r>
      <w:r w:rsidR="00BF20AD">
        <w:rPr>
          <w:lang w:eastAsia="zh-CN"/>
        </w:rPr>
        <w:t>ion</w:t>
      </w:r>
      <w:r w:rsidR="000A7C4D">
        <w:rPr>
          <w:lang w:eastAsia="zh-CN"/>
        </w:rPr>
        <w:t xml:space="preserve">ed </w:t>
      </w:r>
      <w:r w:rsidR="00D728CC">
        <w:rPr>
          <w:lang w:eastAsia="zh-CN"/>
        </w:rPr>
        <w:t>CUs</w:t>
      </w:r>
      <w:r w:rsidR="00A85480">
        <w:rPr>
          <w:lang w:eastAsia="zh-CN"/>
        </w:rPr>
        <w:t xml:space="preserve">, </w:t>
      </w:r>
      <w:r w:rsidR="00C50756">
        <w:rPr>
          <w:lang w:eastAsia="zh-CN"/>
        </w:rPr>
        <w:t xml:space="preserve">incurring </w:t>
      </w:r>
      <w:r w:rsidR="00E51C8B">
        <w:rPr>
          <w:lang w:eastAsia="zh-CN"/>
        </w:rPr>
        <w:t xml:space="preserve">high </w:t>
      </w:r>
      <w:r w:rsidR="006B299D">
        <w:rPr>
          <w:lang w:eastAsia="zh-CN"/>
        </w:rPr>
        <w:t>network CAPAX/OPEX</w:t>
      </w:r>
      <w:r w:rsidR="00706615">
        <w:rPr>
          <w:lang w:eastAsia="zh-CN"/>
        </w:rPr>
        <w:t>.</w:t>
      </w:r>
      <w:bookmarkEnd w:id="42"/>
      <w:r w:rsidR="00706615">
        <w:rPr>
          <w:lang w:eastAsia="zh-CN"/>
        </w:rPr>
        <w:t xml:space="preserve"> </w:t>
      </w:r>
    </w:p>
    <w:p w14:paraId="712A5000" w14:textId="64474D45" w:rsidR="006F4133" w:rsidRDefault="006F4133" w:rsidP="00130F1F">
      <w:pPr>
        <w:pStyle w:val="Observation"/>
        <w:jc w:val="left"/>
        <w:rPr>
          <w:lang w:eastAsia="zh-CN"/>
        </w:rPr>
      </w:pPr>
      <w:bookmarkStart w:id="43" w:name="_Toc61555521"/>
      <w:r>
        <w:rPr>
          <w:lang w:eastAsia="zh-CN"/>
        </w:rPr>
        <w:t xml:space="preserve">Conditional handover </w:t>
      </w:r>
      <w:r w:rsidR="00E43AC7">
        <w:rPr>
          <w:lang w:eastAsia="zh-CN"/>
        </w:rPr>
        <w:t xml:space="preserve">solution </w:t>
      </w:r>
      <w:r w:rsidR="0053194F">
        <w:rPr>
          <w:lang w:eastAsia="zh-CN"/>
        </w:rPr>
        <w:t>may</w:t>
      </w:r>
      <w:r w:rsidR="00E43AC7">
        <w:rPr>
          <w:lang w:eastAsia="zh-CN"/>
        </w:rPr>
        <w:t xml:space="preserve"> </w:t>
      </w:r>
      <w:r w:rsidR="006423AA">
        <w:rPr>
          <w:lang w:eastAsia="zh-CN"/>
        </w:rPr>
        <w:t xml:space="preserve">incur </w:t>
      </w:r>
      <w:r w:rsidR="00C556D7">
        <w:rPr>
          <w:lang w:eastAsia="zh-CN"/>
        </w:rPr>
        <w:t>two re-configurations</w:t>
      </w:r>
      <w:r w:rsidR="0053194F">
        <w:rPr>
          <w:lang w:eastAsia="zh-CN"/>
        </w:rPr>
        <w:t xml:space="preserve">, one </w:t>
      </w:r>
      <w:r w:rsidR="006423AA">
        <w:rPr>
          <w:lang w:eastAsia="zh-CN"/>
        </w:rPr>
        <w:t>for</w:t>
      </w:r>
      <w:r w:rsidR="0053194F">
        <w:rPr>
          <w:lang w:eastAsia="zh-CN"/>
        </w:rPr>
        <w:t xml:space="preserve"> mov</w:t>
      </w:r>
      <w:r w:rsidR="006423AA">
        <w:rPr>
          <w:lang w:eastAsia="zh-CN"/>
        </w:rPr>
        <w:t>ing</w:t>
      </w:r>
      <w:r w:rsidR="0053194F">
        <w:rPr>
          <w:lang w:eastAsia="zh-CN"/>
        </w:rPr>
        <w:t xml:space="preserve"> the IAB node and all the served child/UEs to the target CU, and another </w:t>
      </w:r>
      <w:r w:rsidR="00C008CE">
        <w:rPr>
          <w:lang w:eastAsia="zh-CN"/>
        </w:rPr>
        <w:t>for</w:t>
      </w:r>
      <w:r w:rsidR="0053194F">
        <w:rPr>
          <w:lang w:eastAsia="zh-CN"/>
        </w:rPr>
        <w:t xml:space="preserve"> mov</w:t>
      </w:r>
      <w:r w:rsidR="00C008CE">
        <w:rPr>
          <w:lang w:eastAsia="zh-CN"/>
        </w:rPr>
        <w:t>ing back</w:t>
      </w:r>
      <w:r w:rsidR="0053194F">
        <w:rPr>
          <w:lang w:eastAsia="zh-CN"/>
        </w:rPr>
        <w:t xml:space="preserve"> everything </w:t>
      </w:r>
      <w:r w:rsidR="003B04C1">
        <w:rPr>
          <w:lang w:eastAsia="zh-CN"/>
        </w:rPr>
        <w:t xml:space="preserve">to the source </w:t>
      </w:r>
      <w:r w:rsidR="00F53987">
        <w:rPr>
          <w:lang w:eastAsia="zh-CN"/>
        </w:rPr>
        <w:t>after</w:t>
      </w:r>
      <w:r w:rsidR="003B04C1">
        <w:rPr>
          <w:lang w:eastAsia="zh-CN"/>
        </w:rPr>
        <w:t xml:space="preserve"> the original link </w:t>
      </w:r>
      <w:r w:rsidR="00C556D7">
        <w:rPr>
          <w:lang w:eastAsia="zh-CN"/>
        </w:rPr>
        <w:t>conditions improve.</w:t>
      </w:r>
      <w:bookmarkEnd w:id="43"/>
    </w:p>
    <w:p w14:paraId="1318E8EC" w14:textId="5F6BDDCC" w:rsidR="00E50CFD" w:rsidRDefault="0053194F" w:rsidP="00130F1F">
      <w:pPr>
        <w:pStyle w:val="BodyText"/>
        <w:jc w:val="left"/>
        <w:rPr>
          <w:lang w:val="en-US"/>
        </w:rPr>
      </w:pPr>
      <w:r>
        <w:t>For example,</w:t>
      </w:r>
      <w:r w:rsidR="00834D9A">
        <w:t xml:space="preserve"> it was argued that in case of IAB, the need to reserve resources in the target CU can be waived.</w:t>
      </w:r>
      <w:r w:rsidR="00AD4BD5">
        <w:t xml:space="preserve"> But in this case, </w:t>
      </w:r>
      <w:r w:rsidR="00834D9A">
        <w:t xml:space="preserve">it would not be clear </w:t>
      </w:r>
      <w:r w:rsidR="00AD4BD5">
        <w:t xml:space="preserve">to us </w:t>
      </w:r>
      <w:r w:rsidR="00834D9A">
        <w:t xml:space="preserve">how the CHO procedure can really work. </w:t>
      </w:r>
      <w:r w:rsidR="00834D9A">
        <w:rPr>
          <w:lang w:val="en-US"/>
        </w:rPr>
        <w:t xml:space="preserve">CHO in fact implies that the UE sends an RRCReconfigurationComplete to the target, not an RRCReestablishmentRequest. </w:t>
      </w:r>
      <w:r w:rsidR="00E50CFD">
        <w:rPr>
          <w:lang w:val="en-US"/>
        </w:rPr>
        <w:t xml:space="preserve">Hence, </w:t>
      </w:r>
      <w:r w:rsidR="00AD4BD5">
        <w:rPr>
          <w:lang w:val="en-US"/>
        </w:rPr>
        <w:t xml:space="preserve">in CHO </w:t>
      </w:r>
      <w:r w:rsidR="00834D9A">
        <w:rPr>
          <w:lang w:val="en-US"/>
        </w:rPr>
        <w:t xml:space="preserve">the IAB node </w:t>
      </w:r>
      <w:r w:rsidR="00AD4BD5">
        <w:rPr>
          <w:lang w:val="en-US"/>
        </w:rPr>
        <w:t xml:space="preserve">would immediately </w:t>
      </w:r>
      <w:r w:rsidR="00834D9A">
        <w:rPr>
          <w:lang w:val="en-US"/>
        </w:rPr>
        <w:t xml:space="preserve">attach to the target, </w:t>
      </w:r>
      <w:r w:rsidR="00AD4BD5">
        <w:rPr>
          <w:lang w:val="en-US"/>
        </w:rPr>
        <w:t xml:space="preserve">and if the target did not reserve resource for such incoming IAB node, such </w:t>
      </w:r>
      <w:r w:rsidR="00834D9A">
        <w:rPr>
          <w:lang w:val="en-US"/>
        </w:rPr>
        <w:t>IAB node</w:t>
      </w:r>
      <w:r w:rsidR="00AD4BD5">
        <w:rPr>
          <w:lang w:val="en-US"/>
        </w:rPr>
        <w:t xml:space="preserve"> would attach to the target CU even if the target CU did not really admit it</w:t>
      </w:r>
      <w:r w:rsidR="00834D9A">
        <w:rPr>
          <w:lang w:val="en-US"/>
        </w:rPr>
        <w:t>.</w:t>
      </w:r>
      <w:r w:rsidR="00AD4BD5">
        <w:rPr>
          <w:lang w:val="en-US"/>
        </w:rPr>
        <w:t xml:space="preserve"> This is obviously not logical from a procedural perspective and break the fundamental principles of the handover preparation and admission control.</w:t>
      </w:r>
    </w:p>
    <w:p w14:paraId="60FCAE8C" w14:textId="6770C0DB" w:rsidR="00AB3D09" w:rsidRDefault="00AB3D09" w:rsidP="00F448A3">
      <w:pPr>
        <w:pStyle w:val="Observation"/>
        <w:jc w:val="left"/>
      </w:pPr>
      <w:bookmarkStart w:id="44" w:name="_Toc61555522"/>
      <w:r>
        <w:t>CHO implies that the candidate target cells are prepared for the incoming HO, i.e.</w:t>
      </w:r>
      <w:r w:rsidR="00927997">
        <w:t>,</w:t>
      </w:r>
      <w:r>
        <w:t xml:space="preserve"> the </w:t>
      </w:r>
      <w:r w:rsidR="00133FBF">
        <w:t xml:space="preserve">candidate </w:t>
      </w:r>
      <w:r>
        <w:t>target cell perform</w:t>
      </w:r>
      <w:r w:rsidR="00133FBF">
        <w:t>s</w:t>
      </w:r>
      <w:r>
        <w:t xml:space="preserve"> admission control and reserve</w:t>
      </w:r>
      <w:r w:rsidR="00E47910">
        <w:t>s</w:t>
      </w:r>
      <w:r>
        <w:t xml:space="preserve"> resources for the UE/IAB node. That is because the UE/IAB node </w:t>
      </w:r>
      <w:r w:rsidR="000A4FB0">
        <w:t>transmits</w:t>
      </w:r>
      <w:r>
        <w:t xml:space="preserve"> directly an RRCReconfigurationComplete (not an RRCReestablishmentRequest) </w:t>
      </w:r>
      <w:r w:rsidR="000A4FB0">
        <w:t xml:space="preserve">to the </w:t>
      </w:r>
      <w:r w:rsidR="003F53D1">
        <w:t xml:space="preserve">target CU </w:t>
      </w:r>
      <w:r>
        <w:t>when a CHO is executed.</w:t>
      </w:r>
      <w:bookmarkEnd w:id="44"/>
    </w:p>
    <w:p w14:paraId="3DFBEB37" w14:textId="338CBC85" w:rsidR="00E56577" w:rsidRDefault="00E56577" w:rsidP="00F448A3">
      <w:pPr>
        <w:pStyle w:val="Observation"/>
        <w:jc w:val="left"/>
      </w:pPr>
      <w:bookmarkStart w:id="45" w:name="_Toc61555523"/>
      <w:r>
        <w:t>If</w:t>
      </w:r>
      <w:r w:rsidR="006A26FA">
        <w:t xml:space="preserve"> resource reservation is waived for CHO, the IAB node would attach to the target CU even if the target CU </w:t>
      </w:r>
      <w:r w:rsidR="00E2770A">
        <w:t>has</w:t>
      </w:r>
      <w:r w:rsidR="006A26FA">
        <w:t xml:space="preserve"> not admit</w:t>
      </w:r>
      <w:r w:rsidR="00262EE4">
        <w:t>ted</w:t>
      </w:r>
      <w:r w:rsidR="006A26FA">
        <w:t xml:space="preserve"> it.</w:t>
      </w:r>
      <w:bookmarkEnd w:id="45"/>
    </w:p>
    <w:p w14:paraId="0BA140FD" w14:textId="2FEBFB0D" w:rsidR="0053194F" w:rsidRDefault="008F1C44" w:rsidP="00130F1F">
      <w:pPr>
        <w:pStyle w:val="BodyText"/>
        <w:jc w:val="left"/>
      </w:pPr>
      <w:r>
        <w:t xml:space="preserve">For this reason, if it is assumed that the target CU is not required to be prepared for the CHO, then the IAB node should first send RRCReestablishmentRequest in order to allow the IAB node to determine whether to admit or not the incoming IAB node. </w:t>
      </w:r>
      <w:r w:rsidR="00832F93">
        <w:t>For this reason, if RAN2 sees the need to address the RLF case, the regular reestablishment procedure should be used. If there is the need to reduce the interruption time, the source CU can early provide (i.e. before the RLF occurs) the target CU with all the IABs/UEs contexts</w:t>
      </w:r>
      <w:r w:rsidR="00834D9A">
        <w:rPr>
          <w:lang w:val="en-US"/>
        </w:rPr>
        <w:t xml:space="preserve"> </w:t>
      </w:r>
      <w:r w:rsidR="00832F93">
        <w:rPr>
          <w:lang w:val="en-US"/>
        </w:rPr>
        <w:t>potentially involved, so that the time needed to fetch the contexts from the source is reduced</w:t>
      </w:r>
      <w:r w:rsidR="00834D9A">
        <w:rPr>
          <w:lang w:val="en-US"/>
        </w:rPr>
        <w:t xml:space="preserve">. </w:t>
      </w:r>
    </w:p>
    <w:p w14:paraId="35ECE22B" w14:textId="7E34C5AE" w:rsidR="00571139" w:rsidRPr="00065B99" w:rsidRDefault="00832F93" w:rsidP="00065B99">
      <w:pPr>
        <w:pStyle w:val="Proposal"/>
        <w:rPr>
          <w:rFonts w:cs="Arial"/>
        </w:rPr>
      </w:pPr>
      <w:bookmarkStart w:id="46" w:name="_Toc61555529"/>
      <w:r>
        <w:t>If RAN2 sees the need to address the RLF case</w:t>
      </w:r>
      <w:r w:rsidR="0087378C">
        <w:t>, the regular reestablishment procedure should be used. To reduce the interruption time</w:t>
      </w:r>
      <w:r w:rsidR="008F0834">
        <w:t xml:space="preserve"> due to context fe</w:t>
      </w:r>
      <w:r w:rsidR="00D4681C">
        <w:t>tching</w:t>
      </w:r>
      <w:r w:rsidR="0087378C">
        <w:t>, the source CU can early provide (i.e. before the RLF occurs) the target CU with all the IABs/UEs contexts</w:t>
      </w:r>
      <w:r w:rsidR="0087378C">
        <w:rPr>
          <w:lang w:val="en-US"/>
        </w:rPr>
        <w:t xml:space="preserve"> potentially involved.</w:t>
      </w:r>
      <w:bookmarkEnd w:id="46"/>
    </w:p>
    <w:p w14:paraId="4025BC12" w14:textId="5E5EDD47" w:rsidR="00571139" w:rsidRDefault="00571139" w:rsidP="00130F1F">
      <w:pPr>
        <w:pStyle w:val="Proposal"/>
        <w:jc w:val="left"/>
      </w:pPr>
      <w:bookmarkStart w:id="47" w:name="_Toc61555530"/>
      <w:r>
        <w:t xml:space="preserve">CHO can be used as </w:t>
      </w:r>
      <w:r w:rsidR="00BB452D">
        <w:t>specified</w:t>
      </w:r>
      <w:r>
        <w:t xml:space="preserve"> in Rel</w:t>
      </w:r>
      <w:r w:rsidR="00C55538">
        <w:t>-</w:t>
      </w:r>
      <w:r>
        <w:t xml:space="preserve">16 and </w:t>
      </w:r>
      <w:r w:rsidR="007D7CB3">
        <w:t>should not</w:t>
      </w:r>
      <w:r>
        <w:t xml:space="preserve"> </w:t>
      </w:r>
      <w:r w:rsidR="007D7CB3">
        <w:t>be</w:t>
      </w:r>
      <w:r>
        <w:t xml:space="preserve"> further enhanced.</w:t>
      </w:r>
      <w:bookmarkEnd w:id="47"/>
    </w:p>
    <w:p w14:paraId="2361DAB4" w14:textId="785BC55B" w:rsidR="007A317A" w:rsidRDefault="007A317A" w:rsidP="007A317A">
      <w:pPr>
        <w:pStyle w:val="Heading3"/>
      </w:pPr>
      <w:r>
        <w:t>2.</w:t>
      </w:r>
      <w:r w:rsidR="00EB3C66">
        <w:t>3</w:t>
      </w:r>
      <w:r>
        <w:t>.</w:t>
      </w:r>
      <w:r w:rsidR="00F26780">
        <w:t>2</w:t>
      </w:r>
      <w:r>
        <w:tab/>
      </w:r>
      <w:r w:rsidR="00A66056">
        <w:t>DAPS</w:t>
      </w:r>
    </w:p>
    <w:p w14:paraId="3138821B" w14:textId="62878FA0" w:rsidR="00A66056" w:rsidRDefault="00C31D1E" w:rsidP="00130F1F">
      <w:pPr>
        <w:pStyle w:val="BodyText"/>
        <w:jc w:val="left"/>
      </w:pPr>
      <w:r>
        <w:t xml:space="preserve">Like CHO, </w:t>
      </w:r>
      <w:r w:rsidR="00CD5B62">
        <w:t xml:space="preserve">Dual Active Protocol Stack </w:t>
      </w:r>
      <w:r>
        <w:t xml:space="preserve">(DAPS) </w:t>
      </w:r>
      <w:r w:rsidR="00CD5B62">
        <w:t xml:space="preserve">is also a mobility solution which was standardized </w:t>
      </w:r>
      <w:r w:rsidR="00B60B20">
        <w:t xml:space="preserve">in the URLLC framework </w:t>
      </w:r>
      <w:r w:rsidR="00CD5B62">
        <w:t>with the purpose to achieve 0 ms user plane latency</w:t>
      </w:r>
      <w:r w:rsidR="00B60B20">
        <w:t>.</w:t>
      </w:r>
      <w:r>
        <w:t xml:space="preserve"> </w:t>
      </w:r>
    </w:p>
    <w:p w14:paraId="045594BA" w14:textId="4360ED7B" w:rsidR="007661A6" w:rsidRDefault="00C31D1E" w:rsidP="00130F1F">
      <w:pPr>
        <w:pStyle w:val="BodyText"/>
        <w:jc w:val="left"/>
      </w:pPr>
      <w:r>
        <w:t xml:space="preserve">DAPS is based on </w:t>
      </w:r>
      <w:r w:rsidR="007661A6">
        <w:t xml:space="preserve">having two protocol stacks </w:t>
      </w:r>
      <w:r w:rsidR="0078069D">
        <w:t xml:space="preserve">until PDCP. There is one </w:t>
      </w:r>
      <w:r w:rsidR="00BB6F8C">
        <w:t xml:space="preserve">PDCP </w:t>
      </w:r>
      <w:r w:rsidR="00696EF7">
        <w:t xml:space="preserve">entity </w:t>
      </w:r>
      <w:r w:rsidR="0086768A">
        <w:t xml:space="preserve">with some shared functions towards the two gNBs and some individual functions towards each gNB. </w:t>
      </w:r>
    </w:p>
    <w:p w14:paraId="788365DE" w14:textId="63E7DBD9" w:rsidR="00FA0CEB" w:rsidRDefault="00FA0CEB" w:rsidP="00130F1F">
      <w:pPr>
        <w:pStyle w:val="BodyText"/>
        <w:jc w:val="left"/>
      </w:pPr>
    </w:p>
    <w:p w14:paraId="3ACE638B" w14:textId="77777777" w:rsidR="00767227" w:rsidRDefault="00FA0CEB" w:rsidP="00767227">
      <w:pPr>
        <w:pStyle w:val="BodyText"/>
        <w:keepNext/>
        <w:jc w:val="center"/>
      </w:pPr>
      <w:r>
        <w:object w:dxaOrig="2441" w:dyaOrig="2081" w14:anchorId="5393E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03.5pt" o:ole="">
            <v:imagedata r:id="rId11" o:title=""/>
          </v:shape>
          <o:OLEObject Type="Embed" ProgID="Visio.Drawing.15" ShapeID="_x0000_i1025" DrawAspect="Content" ObjectID="_1672168515" r:id="rId12"/>
        </w:object>
      </w:r>
    </w:p>
    <w:p w14:paraId="50EA0ABE" w14:textId="176C1E36" w:rsidR="00FA0CEB" w:rsidRDefault="00767227" w:rsidP="00767227">
      <w:pPr>
        <w:pStyle w:val="Caption"/>
        <w:jc w:val="center"/>
      </w:pPr>
      <w:r>
        <w:t xml:space="preserve">Figure </w:t>
      </w:r>
      <w:fldSimple w:instr=" SEQ Figure \* ARABIC ">
        <w:r w:rsidR="00D65263">
          <w:rPr>
            <w:noProof/>
          </w:rPr>
          <w:t>1</w:t>
        </w:r>
      </w:fldSimple>
    </w:p>
    <w:p w14:paraId="1E9AA2D8" w14:textId="61C3672C" w:rsidR="00CD5B62" w:rsidRDefault="00CD5B62" w:rsidP="00CD5B62">
      <w:pPr>
        <w:pStyle w:val="BodyText"/>
      </w:pPr>
    </w:p>
    <w:p w14:paraId="2059FC38" w14:textId="11643E68" w:rsidR="00E91201" w:rsidRDefault="00E91201" w:rsidP="00130F1F">
      <w:pPr>
        <w:pStyle w:val="BodyText"/>
        <w:jc w:val="left"/>
      </w:pPr>
      <w:r>
        <w:t xml:space="preserve">IABs do not have a PDCP and, therefore, DAPS cannot be applied to IABs </w:t>
      </w:r>
      <w:r w:rsidR="00A65FEA">
        <w:t>as is. On the other hand, a DAPS-like solution could be foreseen</w:t>
      </w:r>
      <w:r w:rsidR="00E56B5B">
        <w:t xml:space="preserve"> for IABs in which, instead of PDCP, there is a BAP layer. Having independent protocol stacks simplifies </w:t>
      </w:r>
      <w:r w:rsidR="006006CA">
        <w:t>both specification impact and implementation impact.</w:t>
      </w:r>
    </w:p>
    <w:p w14:paraId="5E9C4E3E" w14:textId="1967CB8E" w:rsidR="004F3B6B" w:rsidRDefault="00665174" w:rsidP="00130F1F">
      <w:pPr>
        <w:pStyle w:val="Observation"/>
        <w:jc w:val="left"/>
      </w:pPr>
      <w:bookmarkStart w:id="48" w:name="_Toc61555524"/>
      <w:r>
        <w:t>IAB</w:t>
      </w:r>
      <w:r w:rsidR="00103B8B">
        <w:t xml:space="preserve"> node</w:t>
      </w:r>
      <w:r>
        <w:t>s do not have PDCP</w:t>
      </w:r>
      <w:r w:rsidR="00571ABC">
        <w:t xml:space="preserve"> and, </w:t>
      </w:r>
      <w:r>
        <w:t>thus, DAPS cannot be used as specified.</w:t>
      </w:r>
      <w:bookmarkEnd w:id="48"/>
      <w:r>
        <w:t xml:space="preserve"> </w:t>
      </w:r>
    </w:p>
    <w:p w14:paraId="11ED903E" w14:textId="7A9E3942" w:rsidR="00E91201" w:rsidRPr="00A66056" w:rsidRDefault="00082089" w:rsidP="00130F1F">
      <w:pPr>
        <w:pStyle w:val="Proposal"/>
        <w:jc w:val="left"/>
      </w:pPr>
      <w:bookmarkStart w:id="49" w:name="_Toc61555531"/>
      <w:r>
        <w:t xml:space="preserve">The </w:t>
      </w:r>
      <w:r w:rsidR="00376C21">
        <w:t>legacy</w:t>
      </w:r>
      <w:r>
        <w:t xml:space="preserve"> Rel</w:t>
      </w:r>
      <w:r w:rsidR="00620961">
        <w:t>-</w:t>
      </w:r>
      <w:r>
        <w:t xml:space="preserve">16 </w:t>
      </w:r>
      <w:r w:rsidR="00E74D47">
        <w:t xml:space="preserve">DAPS </w:t>
      </w:r>
      <w:r>
        <w:t>cannot be directly applied</w:t>
      </w:r>
      <w:r w:rsidR="00E74D47">
        <w:t xml:space="preserve"> </w:t>
      </w:r>
      <w:r>
        <w:t xml:space="preserve">to </w:t>
      </w:r>
      <w:r w:rsidR="00E74D47">
        <w:t>IAB</w:t>
      </w:r>
      <w:r w:rsidR="003F71AA">
        <w:t xml:space="preserve"> node</w:t>
      </w:r>
      <w:r w:rsidR="00E74D47">
        <w:t>s</w:t>
      </w:r>
      <w:r>
        <w:t>.</w:t>
      </w:r>
      <w:bookmarkEnd w:id="49"/>
    </w:p>
    <w:p w14:paraId="5D0BD25A" w14:textId="2307A372" w:rsidR="00F26780" w:rsidRDefault="00287EBF" w:rsidP="00287EBF">
      <w:pPr>
        <w:pStyle w:val="Heading3"/>
      </w:pPr>
      <w:r>
        <w:t>2.</w:t>
      </w:r>
      <w:r w:rsidR="00EB3C66">
        <w:t>3</w:t>
      </w:r>
      <w:r>
        <w:t>.3</w:t>
      </w:r>
      <w:r>
        <w:tab/>
      </w:r>
      <w:r>
        <w:tab/>
      </w:r>
      <w:r w:rsidR="00F26780">
        <w:t>Dual Connectivity</w:t>
      </w:r>
    </w:p>
    <w:p w14:paraId="4AA676E6" w14:textId="251F8072" w:rsidR="00FD2C9B" w:rsidRDefault="00DD6BE7" w:rsidP="00130F1F">
      <w:pPr>
        <w:pStyle w:val="BodyText"/>
        <w:jc w:val="left"/>
      </w:pPr>
      <w:r>
        <w:t>IAB uses d</w:t>
      </w:r>
      <w:r w:rsidR="00367A68">
        <w:t xml:space="preserve">ual </w:t>
      </w:r>
      <w:r>
        <w:t xml:space="preserve">connectivity signalling to </w:t>
      </w:r>
      <w:r w:rsidR="00160B2D">
        <w:t xml:space="preserve">enable the connectivity towards two parents. However, </w:t>
      </w:r>
      <w:r w:rsidR="00FA158C">
        <w:t>this is not the same as configuring the dual connectivity feature for an IAB-MT.</w:t>
      </w:r>
      <w:r w:rsidR="006F5F6F">
        <w:t xml:space="preserve"> </w:t>
      </w:r>
      <w:r w:rsidR="00367A68">
        <w:t>From an archite</w:t>
      </w:r>
      <w:r w:rsidR="00756503">
        <w:t xml:space="preserve">cture point of view, it is rather similar. </w:t>
      </w:r>
      <w:r w:rsidR="006F5F6F">
        <w:t>Nevertheless</w:t>
      </w:r>
      <w:r w:rsidR="00280FEC">
        <w:t>, the</w:t>
      </w:r>
      <w:r w:rsidR="00076BC7">
        <w:t xml:space="preserve">re are </w:t>
      </w:r>
      <w:r w:rsidR="006F5F6F">
        <w:t xml:space="preserve">certain </w:t>
      </w:r>
      <w:r w:rsidR="00076BC7">
        <w:t xml:space="preserve">issues which need to be addressed. </w:t>
      </w:r>
      <w:r w:rsidR="00787F25">
        <w:t xml:space="preserve">These were discussed in [1]. </w:t>
      </w:r>
      <w:r w:rsidR="00FD2C9B">
        <w:t xml:space="preserve">Using dual connectivity as a mechanism to achieve load balancing requires </w:t>
      </w:r>
      <w:r w:rsidR="00C12AB0">
        <w:t xml:space="preserve">CU coordination to assign a proper BAP addresses </w:t>
      </w:r>
      <w:r w:rsidR="008F248E">
        <w:t>in both the affected IAB node and the second donor IAB.</w:t>
      </w:r>
      <w:r w:rsidR="006D5C7C">
        <w:t xml:space="preserve"> On top of that, all nodes in both networks </w:t>
      </w:r>
      <w:r w:rsidR="000608F6">
        <w:t xml:space="preserve">that are serving the BH RLC channels subject to load balancing </w:t>
      </w:r>
      <w:r w:rsidR="006D5C7C">
        <w:t>will need to be updated.</w:t>
      </w:r>
      <w:r w:rsidR="00955AEE">
        <w:t xml:space="preserve"> That is because DC operates on PDCP level, and in order to solve the congestion at an intermediate IAB node, the CU needs to reconfigure </w:t>
      </w:r>
    </w:p>
    <w:p w14:paraId="20CC9D65" w14:textId="4599777D" w:rsidR="00555291" w:rsidRDefault="00555291" w:rsidP="00555291">
      <w:pPr>
        <w:pStyle w:val="Heading4"/>
        <w:rPr>
          <w:lang w:eastAsia="zh-CN"/>
        </w:rPr>
      </w:pPr>
      <w:r>
        <w:rPr>
          <w:lang w:eastAsia="zh-CN"/>
        </w:rPr>
        <w:t>2.</w:t>
      </w:r>
      <w:r w:rsidR="00EB3C66">
        <w:rPr>
          <w:lang w:eastAsia="zh-CN"/>
        </w:rPr>
        <w:t>3</w:t>
      </w:r>
      <w:r>
        <w:rPr>
          <w:lang w:eastAsia="zh-CN"/>
        </w:rPr>
        <w:t>.</w:t>
      </w:r>
      <w:r w:rsidR="00287EBF">
        <w:rPr>
          <w:lang w:eastAsia="zh-CN"/>
        </w:rPr>
        <w:t>3</w:t>
      </w:r>
      <w:r>
        <w:rPr>
          <w:lang w:eastAsia="zh-CN"/>
        </w:rPr>
        <w:t>.1</w:t>
      </w:r>
      <w:r>
        <w:rPr>
          <w:lang w:eastAsia="zh-CN"/>
        </w:rPr>
        <w:tab/>
        <w:t>Load balancing and DC</w:t>
      </w:r>
    </w:p>
    <w:p w14:paraId="6D60E9E3" w14:textId="57C500B2" w:rsidR="006D116D" w:rsidRDefault="006D116D" w:rsidP="00130F1F">
      <w:pPr>
        <w:pStyle w:val="BodyText"/>
        <w:jc w:val="left"/>
      </w:pPr>
      <w:r>
        <w:t xml:space="preserve">When the CU determines that load balancing is needed, the CU starts the procedure requesting to a second CU </w:t>
      </w:r>
      <w:r w:rsidR="00A5478B">
        <w:t xml:space="preserve">the </w:t>
      </w:r>
      <w:r>
        <w:t>resources to offload part of the traffic of a certain IAB node</w:t>
      </w:r>
      <w:r w:rsidR="00CA21E2">
        <w:t>, after which t</w:t>
      </w:r>
      <w:r>
        <w:t xml:space="preserve">he CUs will negotiate the configuration. The </w:t>
      </w:r>
      <w:r w:rsidR="00AE22F3">
        <w:t>affected IAB</w:t>
      </w:r>
      <w:r w:rsidR="00384584">
        <w:t>s</w:t>
      </w:r>
      <w:r w:rsidR="00AE22F3">
        <w:t xml:space="preserve"> </w:t>
      </w:r>
      <w:r w:rsidR="006C24D8">
        <w:t xml:space="preserve">and donor DU </w:t>
      </w:r>
      <w:r w:rsidR="00AE22F3">
        <w:t>may need to be updated, for example, with a new BAP address unique in both networks.</w:t>
      </w:r>
      <w:r w:rsidR="006C24D8">
        <w:t xml:space="preserve"> </w:t>
      </w:r>
      <w:r w:rsidR="00B707C3">
        <w:t xml:space="preserve">The affected IABs </w:t>
      </w:r>
      <w:r w:rsidR="004E08CD">
        <w:t>include</w:t>
      </w:r>
      <w:r w:rsidR="00B707C3">
        <w:t xml:space="preserve"> the </w:t>
      </w:r>
      <w:r w:rsidR="00485192">
        <w:t xml:space="preserve">IAB from which traffic is offloaded and also </w:t>
      </w:r>
      <w:r w:rsidR="00B707C3">
        <w:t xml:space="preserve">all child IABs </w:t>
      </w:r>
      <w:r w:rsidR="00485192">
        <w:t xml:space="preserve">from that node. </w:t>
      </w:r>
      <w:r w:rsidR="006C24D8">
        <w:t>This will also require updates in the routing tables of all nodes in the first network.</w:t>
      </w:r>
      <w:r w:rsidR="007B529F">
        <w:t xml:space="preserve"> </w:t>
      </w:r>
    </w:p>
    <w:p w14:paraId="48B1B412" w14:textId="3317FD00" w:rsidR="00B869D6" w:rsidRDefault="00B869D6" w:rsidP="00130F1F">
      <w:pPr>
        <w:pStyle w:val="BodyText"/>
        <w:jc w:val="left"/>
      </w:pPr>
      <w:r>
        <w:t xml:space="preserve">It </w:t>
      </w:r>
      <w:r w:rsidR="00EA43DE">
        <w:t>should also</w:t>
      </w:r>
      <w:r>
        <w:t xml:space="preserve"> be noted that RAN3 agreed that the BAP address cannot be modified once it is assigned the first time. Thus, if the first assigned BAP address is not suitable for the second CU, the procedure would need to be cancelled.</w:t>
      </w:r>
    </w:p>
    <w:p w14:paraId="0DA336D5" w14:textId="2C88E88C" w:rsidR="00555291" w:rsidRPr="00DB0EB4" w:rsidRDefault="006D116D" w:rsidP="00130F1F">
      <w:pPr>
        <w:pStyle w:val="BodyText"/>
        <w:jc w:val="left"/>
      </w:pPr>
      <w:r>
        <w:t>The IAB-MT will use routing rules provided by the CU to route certain traffic to the first or the second CU. In the DL</w:t>
      </w:r>
      <w:r w:rsidR="004A4E9A">
        <w:t>. Both networks will need to know how to address any child node below the affected IAB node.</w:t>
      </w:r>
    </w:p>
    <w:p w14:paraId="497B5282" w14:textId="3A51AD43" w:rsidR="00555291" w:rsidRDefault="00555291" w:rsidP="00555291">
      <w:pPr>
        <w:pStyle w:val="Heading4"/>
        <w:rPr>
          <w:lang w:eastAsia="zh-CN"/>
        </w:rPr>
      </w:pPr>
      <w:r>
        <w:rPr>
          <w:lang w:eastAsia="zh-CN"/>
        </w:rPr>
        <w:t>2.</w:t>
      </w:r>
      <w:r w:rsidR="00EB3C66">
        <w:rPr>
          <w:lang w:eastAsia="zh-CN"/>
        </w:rPr>
        <w:t>3</w:t>
      </w:r>
      <w:r>
        <w:rPr>
          <w:lang w:eastAsia="zh-CN"/>
        </w:rPr>
        <w:t>.</w:t>
      </w:r>
      <w:r w:rsidR="00287EBF">
        <w:rPr>
          <w:lang w:eastAsia="zh-CN"/>
        </w:rPr>
        <w:t>3</w:t>
      </w:r>
      <w:r>
        <w:rPr>
          <w:lang w:eastAsia="zh-CN"/>
        </w:rPr>
        <w:t>.2</w:t>
      </w:r>
      <w:r>
        <w:rPr>
          <w:lang w:eastAsia="zh-CN"/>
        </w:rPr>
        <w:tab/>
        <w:t>RLF and DC</w:t>
      </w:r>
    </w:p>
    <w:p w14:paraId="043FDB4C" w14:textId="785AC2F5" w:rsidR="00555291" w:rsidRDefault="00DB0EB4" w:rsidP="000C6B33">
      <w:pPr>
        <w:rPr>
          <w:rFonts w:ascii="Arial" w:hAnsi="Arial" w:cs="Arial"/>
        </w:rPr>
      </w:pPr>
      <w:r>
        <w:rPr>
          <w:rFonts w:ascii="Arial" w:hAnsi="Arial" w:cs="Arial"/>
        </w:rPr>
        <w:t>DC for RLF can be used in a similar way as for load balancing and has similar issues. An IAB-MT could be configured with specific rules for the RLF</w:t>
      </w:r>
      <w:r w:rsidR="00AF317C">
        <w:rPr>
          <w:rFonts w:ascii="Arial" w:hAnsi="Arial" w:cs="Arial"/>
        </w:rPr>
        <w:t xml:space="preserve"> and it could also follow the legacy procedure</w:t>
      </w:r>
      <w:r w:rsidR="005C4762">
        <w:rPr>
          <w:rFonts w:ascii="Arial" w:hAnsi="Arial" w:cs="Arial"/>
        </w:rPr>
        <w:t>,</w:t>
      </w:r>
      <w:r w:rsidR="00AF317C">
        <w:rPr>
          <w:rFonts w:ascii="Arial" w:hAnsi="Arial" w:cs="Arial"/>
        </w:rPr>
        <w:t xml:space="preserve"> </w:t>
      </w:r>
      <w:r w:rsidR="00B51983">
        <w:rPr>
          <w:rFonts w:ascii="Arial" w:hAnsi="Arial" w:cs="Arial"/>
        </w:rPr>
        <w:t>which allows to transmit the data over the operating link</w:t>
      </w:r>
      <w:r>
        <w:rPr>
          <w:rFonts w:ascii="Arial" w:hAnsi="Arial" w:cs="Arial"/>
        </w:rPr>
        <w:t xml:space="preserve">. </w:t>
      </w:r>
    </w:p>
    <w:p w14:paraId="76509865" w14:textId="3E32156B" w:rsidR="00287EBF" w:rsidRDefault="005844EE" w:rsidP="00130F1F">
      <w:pPr>
        <w:pStyle w:val="Observation"/>
        <w:jc w:val="left"/>
      </w:pPr>
      <w:bookmarkStart w:id="50" w:name="_Toc61555525"/>
      <w:r>
        <w:t xml:space="preserve">A DC-based solution </w:t>
      </w:r>
      <w:r w:rsidR="00F7677D">
        <w:t>may</w:t>
      </w:r>
      <w:r w:rsidR="00B30D4E">
        <w:t xml:space="preserve"> result in high signalling </w:t>
      </w:r>
      <w:r w:rsidR="00F7677D">
        <w:t>and coordination between neighbouring CUs</w:t>
      </w:r>
      <w:r w:rsidR="00B30D4E">
        <w:t>.</w:t>
      </w:r>
      <w:bookmarkEnd w:id="50"/>
    </w:p>
    <w:p w14:paraId="0315E8C1" w14:textId="6A70A905" w:rsidR="00287EBF" w:rsidRDefault="00287EBF" w:rsidP="00287EBF">
      <w:pPr>
        <w:pStyle w:val="Heading3"/>
      </w:pPr>
      <w:r>
        <w:t>2.</w:t>
      </w:r>
      <w:r w:rsidR="00EB3C66">
        <w:t>3</w:t>
      </w:r>
      <w:r>
        <w:t>.4</w:t>
      </w:r>
      <w:r>
        <w:tab/>
        <w:t>A DAPS-like solution: Dual IAB Protocol Stack / Dual MT</w:t>
      </w:r>
    </w:p>
    <w:p w14:paraId="7A8EEC88" w14:textId="0C548C9C" w:rsidR="00287EBF" w:rsidRDefault="003C1C71" w:rsidP="00130F1F">
      <w:pPr>
        <w:pStyle w:val="BodyText"/>
        <w:jc w:val="left"/>
      </w:pPr>
      <w:r>
        <w:t>At the RAN3#110-e meeting, RAN3 agreed that</w:t>
      </w:r>
      <w:r w:rsidR="00542C9F">
        <w:t xml:space="preserve"> potential solutions for </w:t>
      </w:r>
      <w:r>
        <w:t xml:space="preserve">simultaneous connectivity to two donors </w:t>
      </w:r>
      <w:r w:rsidR="00542C9F">
        <w:t xml:space="preserve">may include </w:t>
      </w:r>
      <w:r w:rsidR="008D5C19">
        <w:t>a “DAPS-like” solution. Such a</w:t>
      </w:r>
      <w:r w:rsidR="00287EBF">
        <w:t xml:space="preserve"> solution would look like the following figure:</w:t>
      </w:r>
    </w:p>
    <w:p w14:paraId="581514FE" w14:textId="77777777" w:rsidR="00287EBF" w:rsidRDefault="00287EBF" w:rsidP="00287EBF">
      <w:pPr>
        <w:pStyle w:val="BodyText"/>
      </w:pPr>
    </w:p>
    <w:p w14:paraId="3BD3414B" w14:textId="77777777" w:rsidR="00287EBF" w:rsidRDefault="00287EBF" w:rsidP="00287EBF">
      <w:pPr>
        <w:pStyle w:val="BodyText"/>
        <w:keepNext/>
        <w:jc w:val="center"/>
      </w:pPr>
      <w:r>
        <w:object w:dxaOrig="1650" w:dyaOrig="2221" w14:anchorId="6ED52C6B">
          <v:shape id="_x0000_i1026" type="#_x0000_t75" style="width:83.25pt;height:111.75pt" o:ole="">
            <v:imagedata r:id="rId13" o:title=""/>
          </v:shape>
          <o:OLEObject Type="Embed" ProgID="Visio.Drawing.15" ShapeID="_x0000_i1026" DrawAspect="Content" ObjectID="_1672168516" r:id="rId14"/>
        </w:object>
      </w:r>
    </w:p>
    <w:p w14:paraId="327CBF1A" w14:textId="46B63C7B" w:rsidR="00287EBF" w:rsidRDefault="00287EBF" w:rsidP="00287EBF">
      <w:pPr>
        <w:pStyle w:val="Caption"/>
        <w:jc w:val="center"/>
      </w:pPr>
      <w:r>
        <w:t xml:space="preserve">Figure </w:t>
      </w:r>
      <w:fldSimple w:instr=" SEQ Figure \* ARABIC ">
        <w:r w:rsidR="00D65263">
          <w:rPr>
            <w:noProof/>
          </w:rPr>
          <w:t>2</w:t>
        </w:r>
      </w:fldSimple>
      <w:r w:rsidR="008D5C19">
        <w:rPr>
          <w:noProof/>
        </w:rPr>
        <w:t xml:space="preserve">: </w:t>
      </w:r>
      <w:r w:rsidR="00A346EC">
        <w:rPr>
          <w:noProof/>
        </w:rPr>
        <w:t>Dual IAB Protocol Stack</w:t>
      </w:r>
    </w:p>
    <w:p w14:paraId="76BC0EA6" w14:textId="2C0C1DA3" w:rsidR="00287EBF" w:rsidRDefault="00287EBF" w:rsidP="00130F1F">
      <w:pPr>
        <w:pStyle w:val="BodyText"/>
        <w:jc w:val="left"/>
      </w:pPr>
      <w:r>
        <w:t xml:space="preserve">In essence, </w:t>
      </w:r>
      <w:r w:rsidR="00010429">
        <w:t>the solution comprises</w:t>
      </w:r>
      <w:r>
        <w:t xml:space="preserve"> two protocol stacks as in DAPS, with the difference that there is a BAP entity(-ies) instead of a PDCP layer. A set of BAP functions could be </w:t>
      </w:r>
      <w:r w:rsidR="00010429">
        <w:t>common,</w:t>
      </w:r>
      <w:r>
        <w:t xml:space="preserve"> and another set of functions could be independent for each parent node. </w:t>
      </w:r>
    </w:p>
    <w:p w14:paraId="278AFE14" w14:textId="5522DEB1" w:rsidR="00287EBF" w:rsidRDefault="00287EBF" w:rsidP="00130F1F">
      <w:pPr>
        <w:pStyle w:val="BodyText"/>
        <w:jc w:val="left"/>
      </w:pPr>
      <w:r>
        <w:t xml:space="preserve">This type of solution </w:t>
      </w:r>
      <w:r w:rsidR="008F1AB7">
        <w:t xml:space="preserve">reduces </w:t>
      </w:r>
      <w:r>
        <w:t>the complexity to the minim</w:t>
      </w:r>
      <w:r w:rsidR="008F1AB7">
        <w:t>um</w:t>
      </w:r>
      <w:r>
        <w:t xml:space="preserve"> and achieves all the goals of the WI</w:t>
      </w:r>
      <w:r w:rsidR="008F1AB7">
        <w:t>, since:</w:t>
      </w:r>
    </w:p>
    <w:p w14:paraId="1A41FDD7" w14:textId="77777777" w:rsidR="00287EBF" w:rsidRDefault="00287EBF" w:rsidP="00130F1F">
      <w:pPr>
        <w:pStyle w:val="BodyText"/>
        <w:numPr>
          <w:ilvl w:val="0"/>
          <w:numId w:val="26"/>
        </w:numPr>
        <w:jc w:val="left"/>
      </w:pPr>
      <w:r>
        <w:t>Each protocol stack can be configured independently using current signalling and procedures increasing robustness. Minimal signalling updates might be needed.</w:t>
      </w:r>
    </w:p>
    <w:p w14:paraId="70B3D9E6" w14:textId="4824EF93" w:rsidR="00287EBF" w:rsidRDefault="00287EBF" w:rsidP="00130F1F">
      <w:pPr>
        <w:pStyle w:val="BodyText"/>
        <w:numPr>
          <w:ilvl w:val="0"/>
          <w:numId w:val="26"/>
        </w:numPr>
        <w:jc w:val="left"/>
      </w:pPr>
      <w:r>
        <w:t xml:space="preserve">Only the affected </w:t>
      </w:r>
      <w:r w:rsidR="005B0E4C">
        <w:t>IAB</w:t>
      </w:r>
      <w:r>
        <w:t xml:space="preserve"> </w:t>
      </w:r>
      <w:r w:rsidR="00441EC1">
        <w:t xml:space="preserve">node </w:t>
      </w:r>
      <w:r>
        <w:t>is reconfigured. Everything is transparent for other nodes and UEs which do not require any reconfiguration; then, decreasing signalling load and increasing robustness.</w:t>
      </w:r>
    </w:p>
    <w:p w14:paraId="3EBB409E" w14:textId="4C5BC948" w:rsidR="00287EBF" w:rsidRDefault="00287EBF" w:rsidP="00130F1F">
      <w:pPr>
        <w:pStyle w:val="BodyText"/>
        <w:numPr>
          <w:ilvl w:val="0"/>
          <w:numId w:val="26"/>
        </w:numPr>
        <w:jc w:val="left"/>
      </w:pPr>
      <w:r>
        <w:t>It eliminates service interruption</w:t>
      </w:r>
      <w:r w:rsidR="008D75AD">
        <w:t>,</w:t>
      </w:r>
      <w:r>
        <w:t xml:space="preserve"> as data can continue flowing over the initial link until the second is set-up.</w:t>
      </w:r>
    </w:p>
    <w:p w14:paraId="24C0E8C8" w14:textId="447F6994" w:rsidR="00287EBF" w:rsidRDefault="00287EBF" w:rsidP="00130F1F">
      <w:pPr>
        <w:pStyle w:val="BodyText"/>
        <w:numPr>
          <w:ilvl w:val="0"/>
          <w:numId w:val="26"/>
        </w:numPr>
        <w:jc w:val="left"/>
      </w:pPr>
      <w:r>
        <w:t>It avoids the need of IP/BAP addresses and route IDs coordination between CUs</w:t>
      </w:r>
      <w:r w:rsidR="008D75AD">
        <w:t>,</w:t>
      </w:r>
      <w:r>
        <w:t xml:space="preserve"> which reduces significantly the complexity and the network signalling.</w:t>
      </w:r>
    </w:p>
    <w:p w14:paraId="653A1892" w14:textId="7A62098E" w:rsidR="00587605" w:rsidRDefault="003C5584" w:rsidP="00587605">
      <w:pPr>
        <w:pStyle w:val="Observation"/>
        <w:jc w:val="left"/>
      </w:pPr>
      <w:bookmarkStart w:id="51" w:name="_Toc61555526"/>
      <w:r>
        <w:t>A DAPS-like solution allows to configure separately the two protocol stack and hence it requires less coordination between CUs</w:t>
      </w:r>
      <w:r w:rsidR="00287EBF">
        <w:t>.</w:t>
      </w:r>
      <w:bookmarkEnd w:id="51"/>
    </w:p>
    <w:p w14:paraId="3A26A9EF" w14:textId="6A1DAE48" w:rsidR="00287EBF" w:rsidRDefault="00287EBF" w:rsidP="00587605">
      <w:r w:rsidRPr="00587605">
        <w:rPr>
          <w:rFonts w:ascii="Arial" w:hAnsi="Arial"/>
          <w:lang w:eastAsia="zh-CN"/>
        </w:rPr>
        <w:t>When the CU determines that load balancing is needed, the CU starts the procedure requesting to a second CU resources to offload part of the traffic of a certain IAB node. The CUs will negotiate the configuration and the second CU will prepare the configuration to apply in the second protocol stack of the IAB-MT, the RLC backhaul channel(s), BAP address(es), etc.</w:t>
      </w:r>
    </w:p>
    <w:p w14:paraId="7851FC1B" w14:textId="67F2BA20" w:rsidR="00287EBF" w:rsidRDefault="00287EBF" w:rsidP="00130F1F">
      <w:pPr>
        <w:pStyle w:val="BodyText"/>
        <w:jc w:val="left"/>
      </w:pPr>
      <w:r>
        <w:t xml:space="preserve">The IAB-MT will use routing rules provided by the CU to route certain traffic to the first or the second CU. In the DL, the IAB-MT will translate the BAP addresses from the second CU to the BAP addresses from the first CU to reach the nodes under the </w:t>
      </w:r>
      <w:r w:rsidR="00FC54F2">
        <w:t>control of the</w:t>
      </w:r>
      <w:r>
        <w:t xml:space="preserve"> first CU. </w:t>
      </w:r>
    </w:p>
    <w:p w14:paraId="7C41802E" w14:textId="77777777" w:rsidR="00287EBF" w:rsidRDefault="00287EBF" w:rsidP="00130F1F">
      <w:pPr>
        <w:pStyle w:val="BodyText"/>
        <w:jc w:val="left"/>
      </w:pPr>
      <w:r>
        <w:t>All this means that the only affected node is the IAB from which data is being offloaded and no other node or UE is aware of this situation. All this procedure can be performed with current signalling. Some minor changes are needed.</w:t>
      </w:r>
    </w:p>
    <w:p w14:paraId="755FCF2B" w14:textId="7E2B1A6D" w:rsidR="002E7B39" w:rsidRDefault="00287EBF" w:rsidP="00130F1F">
      <w:pPr>
        <w:pStyle w:val="Proposal"/>
        <w:jc w:val="left"/>
      </w:pPr>
      <w:bookmarkStart w:id="52" w:name="_Toc61555532"/>
      <w:r>
        <w:t xml:space="preserve">A DAPS-like solution is introduced </w:t>
      </w:r>
      <w:r w:rsidR="00811F4E">
        <w:t>for addressing</w:t>
      </w:r>
      <w:r>
        <w:t xml:space="preserve"> load balancing.</w:t>
      </w:r>
      <w:bookmarkEnd w:id="52"/>
    </w:p>
    <w:p w14:paraId="09900867" w14:textId="481BA3A3" w:rsidR="00156FB3" w:rsidRDefault="00D26CAB" w:rsidP="00130F1F">
      <w:pPr>
        <w:pStyle w:val="Proposal"/>
        <w:jc w:val="left"/>
      </w:pPr>
      <w:bookmarkStart w:id="53" w:name="_Toc61555533"/>
      <w:r>
        <w:t>A DAPS-like solution</w:t>
      </w:r>
      <w:r w:rsidR="002E7B39">
        <w:t xml:space="preserve"> </w:t>
      </w:r>
      <w:r w:rsidR="00156FB3">
        <w:t>is based on:</w:t>
      </w:r>
      <w:bookmarkEnd w:id="53"/>
      <w:r w:rsidR="00156FB3">
        <w:t xml:space="preserve"> </w:t>
      </w:r>
    </w:p>
    <w:p w14:paraId="2616DE9E" w14:textId="59AFC760" w:rsidR="00156FB3" w:rsidRDefault="00657BA6" w:rsidP="00130F1F">
      <w:pPr>
        <w:pStyle w:val="Proposal"/>
        <w:numPr>
          <w:ilvl w:val="1"/>
          <w:numId w:val="3"/>
        </w:numPr>
        <w:jc w:val="left"/>
      </w:pPr>
      <w:bookmarkStart w:id="54" w:name="_Toc61555534"/>
      <w:r>
        <w:t xml:space="preserve">Two </w:t>
      </w:r>
      <w:r w:rsidR="00156FB3">
        <w:t xml:space="preserve">independent </w:t>
      </w:r>
      <w:r w:rsidR="002E7B39">
        <w:t>protocol stacks</w:t>
      </w:r>
      <w:r w:rsidR="00E76721">
        <w:t xml:space="preserve"> (RLC/</w:t>
      </w:r>
      <w:r w:rsidR="00A830F9">
        <w:t>MAC/</w:t>
      </w:r>
      <w:r w:rsidR="00156FB3">
        <w:t>PHY</w:t>
      </w:r>
      <w:r w:rsidR="00A830F9">
        <w:t>)</w:t>
      </w:r>
      <w:bookmarkEnd w:id="54"/>
    </w:p>
    <w:p w14:paraId="3C9C7DB6" w14:textId="790BE91C" w:rsidR="002E7B39" w:rsidRDefault="00156FB3" w:rsidP="00130F1F">
      <w:pPr>
        <w:pStyle w:val="Proposal"/>
        <w:numPr>
          <w:ilvl w:val="1"/>
          <w:numId w:val="3"/>
        </w:numPr>
        <w:jc w:val="left"/>
      </w:pPr>
      <w:bookmarkStart w:id="55" w:name="_Toc61555535"/>
      <w:r>
        <w:t>One</w:t>
      </w:r>
      <w:r w:rsidR="003A3D71">
        <w:t xml:space="preserve"> or two independent BAP entities </w:t>
      </w:r>
      <w:r w:rsidR="00657BA6">
        <w:t xml:space="preserve">with some </w:t>
      </w:r>
      <w:r w:rsidR="002E7B39">
        <w:t xml:space="preserve">common </w:t>
      </w:r>
      <w:r w:rsidR="00657BA6">
        <w:t xml:space="preserve">and some </w:t>
      </w:r>
      <w:r w:rsidR="002E7B39">
        <w:t xml:space="preserve">independent </w:t>
      </w:r>
      <w:r w:rsidR="00657BA6">
        <w:t>functionalities</w:t>
      </w:r>
      <w:r w:rsidR="002E7B39">
        <w:t>.</w:t>
      </w:r>
      <w:bookmarkEnd w:id="55"/>
    </w:p>
    <w:p w14:paraId="58FAC923" w14:textId="47809580" w:rsidR="006521C8" w:rsidRDefault="006521C8" w:rsidP="00130F1F">
      <w:pPr>
        <w:pStyle w:val="Proposal"/>
        <w:numPr>
          <w:ilvl w:val="1"/>
          <w:numId w:val="3"/>
        </w:numPr>
        <w:jc w:val="left"/>
      </w:pPr>
      <w:bookmarkStart w:id="56" w:name="_Toc61555536"/>
      <w:r>
        <w:t xml:space="preserve">Each CU allocates its own </w:t>
      </w:r>
      <w:r w:rsidR="007F516E">
        <w:t>resources (e.g.</w:t>
      </w:r>
      <w:r w:rsidR="009606DC">
        <w:t>,</w:t>
      </w:r>
      <w:r w:rsidR="007F516E">
        <w:t xml:space="preserve"> addresses, BH </w:t>
      </w:r>
      <w:r w:rsidR="009606DC">
        <w:t xml:space="preserve">RLC </w:t>
      </w:r>
      <w:r w:rsidR="007F516E">
        <w:t>channels, etc</w:t>
      </w:r>
      <w:r w:rsidR="00A74D6B">
        <w:t>.</w:t>
      </w:r>
      <w:r w:rsidR="007F516E">
        <w:t xml:space="preserve">) </w:t>
      </w:r>
      <w:r>
        <w:t xml:space="preserve">without the need </w:t>
      </w:r>
      <w:r w:rsidR="00AB5D26">
        <w:t>for</w:t>
      </w:r>
      <w:r>
        <w:t xml:space="preserve"> coordination</w:t>
      </w:r>
      <w:r w:rsidR="00A5663F">
        <w:t>, and configures each protocol stack.</w:t>
      </w:r>
      <w:bookmarkEnd w:id="56"/>
    </w:p>
    <w:p w14:paraId="632089C9" w14:textId="77777777" w:rsidR="00287EBF" w:rsidRPr="00B30D4E" w:rsidRDefault="00287EBF" w:rsidP="00287EBF">
      <w:pPr>
        <w:pStyle w:val="Observation"/>
        <w:numPr>
          <w:ilvl w:val="0"/>
          <w:numId w:val="0"/>
        </w:numPr>
        <w:ind w:left="1701" w:hanging="1701"/>
      </w:pPr>
    </w:p>
    <w:p w14:paraId="23339723" w14:textId="58280021" w:rsidR="00C01F33" w:rsidRPr="00CE0424" w:rsidRDefault="00FD067B" w:rsidP="00CE0424">
      <w:pPr>
        <w:pStyle w:val="Heading1"/>
      </w:pPr>
      <w:r>
        <w:t xml:space="preserve">3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4BD38C" w14:textId="77777777" w:rsidR="00ED7B4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55514" w:history="1">
        <w:r w:rsidR="00ED7B43" w:rsidRPr="001C247D">
          <w:rPr>
            <w:rStyle w:val="Hyperlink"/>
            <w:noProof/>
          </w:rPr>
          <w:t>Observation 1</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For non-mobile IAB networks, network planning is necessary for ensuring that an IAB node is deployed in the coverage of two parent nodes.</w:t>
        </w:r>
      </w:hyperlink>
    </w:p>
    <w:p w14:paraId="7BFF7BFF"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15" w:history="1">
        <w:r w:rsidR="00ED7B43" w:rsidRPr="001C247D">
          <w:rPr>
            <w:rStyle w:val="Hyperlink"/>
            <w:noProof/>
          </w:rPr>
          <w:t>Observation 2</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Situations where IAB nodes are exactly deployed between bordering areas of two IAB-Donor CUs may be rare.</w:t>
        </w:r>
      </w:hyperlink>
    </w:p>
    <w:p w14:paraId="1344D32F"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16" w:history="1">
        <w:r w:rsidR="00ED7B43" w:rsidRPr="001C247D">
          <w:rPr>
            <w:rStyle w:val="Hyperlink"/>
            <w:noProof/>
          </w:rPr>
          <w:t>Observation 3</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Solutions based on moving all the contexts from one CU to another CU are not practical from the network CAPEX/OPEX perspective.</w:t>
        </w:r>
      </w:hyperlink>
    </w:p>
    <w:p w14:paraId="52667B21"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17" w:history="1">
        <w:r w:rsidR="00ED7B43" w:rsidRPr="001C247D">
          <w:rPr>
            <w:rStyle w:val="Hyperlink"/>
            <w:noProof/>
          </w:rPr>
          <w:t>Observation 4</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When the radio conditions improve and/or the congestion situation is resolved; the re-routed traffic is expected to return to its initial set-up, i.e. moved back to the original CU.</w:t>
        </w:r>
      </w:hyperlink>
    </w:p>
    <w:p w14:paraId="408E7EA6"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18" w:history="1">
        <w:r w:rsidR="00ED7B43" w:rsidRPr="001C247D">
          <w:rPr>
            <w:rStyle w:val="Hyperlink"/>
            <w:noProof/>
          </w:rPr>
          <w:t>Observation 5</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From a RAN2 point of view, the two features IAB and CHO can be supported and configured and, therefore, RAN2 does not need to do anything further.</w:t>
        </w:r>
      </w:hyperlink>
    </w:p>
    <w:p w14:paraId="359D8218"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19" w:history="1">
        <w:r w:rsidR="00ED7B43" w:rsidRPr="001C247D">
          <w:rPr>
            <w:rStyle w:val="Hyperlink"/>
            <w:noProof/>
          </w:rPr>
          <w:t>Observation 6</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According to the Rel-16 specifications, if an IAB node is configured with CHO, it can execute a CHO upon declaring RLF on the link towards the parent node, or upon receiving a BH RLF indication from the parent node.</w:t>
        </w:r>
      </w:hyperlink>
    </w:p>
    <w:p w14:paraId="769499BF"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0" w:history="1">
        <w:r w:rsidR="00ED7B43" w:rsidRPr="001C247D">
          <w:rPr>
            <w:rStyle w:val="Hyperlink"/>
            <w:noProof/>
          </w:rPr>
          <w:t>Observation 7</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Conditional handover to address RLF requires over-dimensioned CUs, incurring high network CAPAX/OPEX.</w:t>
        </w:r>
      </w:hyperlink>
    </w:p>
    <w:p w14:paraId="3DDB3C15"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1" w:history="1">
        <w:r w:rsidR="00ED7B43" w:rsidRPr="001C247D">
          <w:rPr>
            <w:rStyle w:val="Hyperlink"/>
            <w:noProof/>
          </w:rPr>
          <w:t>Observation 8</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Conditional handover solution may incur two re-configurations, one for moving the IAB node and all the served child/UEs to the target CU, and another for moving back everything to the source after the original link conditions improve.</w:t>
        </w:r>
      </w:hyperlink>
    </w:p>
    <w:p w14:paraId="1E9CC9AC"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2" w:history="1">
        <w:r w:rsidR="00ED7B43" w:rsidRPr="001C247D">
          <w:rPr>
            <w:rStyle w:val="Hyperlink"/>
            <w:noProof/>
          </w:rPr>
          <w:t>Observation 9</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CHO implies that the candidate target cells are prepared for the incoming HO, i.e., the candidate target cell performs admission control and reserves resources for the UE/IAB node. That is because the UE/IAB node transmits directly an RRCReconfigurationComplete (not an RRCReestablishmentRequest) to the target CU when a CHO is executed.</w:t>
        </w:r>
      </w:hyperlink>
    </w:p>
    <w:p w14:paraId="7FF18F5E"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3" w:history="1">
        <w:r w:rsidR="00ED7B43" w:rsidRPr="001C247D">
          <w:rPr>
            <w:rStyle w:val="Hyperlink"/>
            <w:noProof/>
          </w:rPr>
          <w:t>Observation 10</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If resource reservation is waived for CHO, the IAB node would attach to the target CU even if the target CU has not admitted it.</w:t>
        </w:r>
      </w:hyperlink>
    </w:p>
    <w:p w14:paraId="7115F8B7"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4" w:history="1">
        <w:r w:rsidR="00ED7B43" w:rsidRPr="001C247D">
          <w:rPr>
            <w:rStyle w:val="Hyperlink"/>
            <w:noProof/>
          </w:rPr>
          <w:t>Observation 11</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IAB nodes do not have PDCP and, thus, DAPS cannot be used as specified.</w:t>
        </w:r>
      </w:hyperlink>
    </w:p>
    <w:p w14:paraId="72F37026"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5" w:history="1">
        <w:r w:rsidR="00ED7B43" w:rsidRPr="001C247D">
          <w:rPr>
            <w:rStyle w:val="Hyperlink"/>
            <w:noProof/>
          </w:rPr>
          <w:t>Observation 12</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A DC-based solution may result in high signalling and coordination between neighbouring CUs.</w:t>
        </w:r>
      </w:hyperlink>
    </w:p>
    <w:p w14:paraId="002262C3"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6" w:history="1">
        <w:r w:rsidR="00ED7B43" w:rsidRPr="001C247D">
          <w:rPr>
            <w:rStyle w:val="Hyperlink"/>
            <w:noProof/>
          </w:rPr>
          <w:t>Observation 13</w:t>
        </w:r>
        <w:r w:rsidR="00ED7B43">
          <w:rPr>
            <w:rFonts w:asciiTheme="minorHAnsi" w:eastAsiaTheme="minorEastAsia" w:hAnsiTheme="minorHAnsi" w:cstheme="minorBidi"/>
            <w:b w:val="0"/>
            <w:noProof/>
            <w:sz w:val="22"/>
            <w:szCs w:val="22"/>
            <w:lang w:val="sv-SE" w:eastAsia="sv-SE"/>
          </w:rPr>
          <w:tab/>
        </w:r>
        <w:r w:rsidR="00ED7B43" w:rsidRPr="001C247D">
          <w:rPr>
            <w:rStyle w:val="Hyperlink"/>
            <w:noProof/>
          </w:rPr>
          <w:t>A DAPS-like solution allows to configure separately the two protocol stack and hence it requires less coordination between CUs.</w:t>
        </w:r>
      </w:hyperlink>
    </w:p>
    <w:p w14:paraId="21E720E8" w14:textId="4233772E"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D18D97" w14:textId="77777777" w:rsidR="00ED7B4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5527" w:history="1">
        <w:r w:rsidR="00ED7B43" w:rsidRPr="00F4324B">
          <w:rPr>
            <w:rStyle w:val="Hyperlink"/>
            <w:noProof/>
            <w14:scene3d>
              <w14:camera w14:prst="orthographicFront"/>
              <w14:lightRig w14:rig="threePt" w14:dir="t">
                <w14:rot w14:lat="0" w14:lon="0" w14:rev="0"/>
              </w14:lightRig>
            </w14:scene3d>
          </w:rPr>
          <w:t>Proposal 1</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RAN2 to avoid specifying solutions for mobility use case since mobility is not the goal of the IAB Rel-17 WI</w:t>
        </w:r>
      </w:hyperlink>
    </w:p>
    <w:p w14:paraId="2131A0BD"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8" w:history="1">
        <w:r w:rsidR="00ED7B43" w:rsidRPr="00F4324B">
          <w:rPr>
            <w:rStyle w:val="Hyperlink"/>
            <w:noProof/>
            <w14:scene3d>
              <w14:camera w14:prst="orthographicFront"/>
              <w14:lightRig w14:rig="threePt" w14:dir="t">
                <w14:rot w14:lat="0" w14:lon="0" w14:rev="0"/>
              </w14:lightRig>
            </w14:scene3d>
          </w:rPr>
          <w:t>Proposal 2</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RAN2 should focus on load balancing solutions as the main use case for inter-donor migration. It is beneficial if these solutions also address RLF scenarios.</w:t>
        </w:r>
      </w:hyperlink>
    </w:p>
    <w:p w14:paraId="07F0460F"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29" w:history="1">
        <w:r w:rsidR="00ED7B43" w:rsidRPr="00F4324B">
          <w:rPr>
            <w:rStyle w:val="Hyperlink"/>
            <w:noProof/>
            <w14:scene3d>
              <w14:camera w14:prst="orthographicFront"/>
              <w14:lightRig w14:rig="threePt" w14:dir="t">
                <w14:rot w14:lat="0" w14:lon="0" w14:rev="0"/>
              </w14:lightRig>
            </w14:scene3d>
          </w:rPr>
          <w:t>Proposal 3</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If RAN2 sees the need to address the RLF case, the regular reestablishment procedure should be used. To reduce the interruption time due to context fetching, the source CU can early provide (i.e. before the RLF occurs) the target CU with all the IABs/UEs contexts</w:t>
        </w:r>
        <w:r w:rsidR="00ED7B43" w:rsidRPr="00F4324B">
          <w:rPr>
            <w:rStyle w:val="Hyperlink"/>
            <w:noProof/>
            <w:lang w:val="en-US"/>
          </w:rPr>
          <w:t xml:space="preserve"> potentially involved.</w:t>
        </w:r>
      </w:hyperlink>
    </w:p>
    <w:p w14:paraId="27BC674C"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0" w:history="1">
        <w:r w:rsidR="00ED7B43" w:rsidRPr="00F4324B">
          <w:rPr>
            <w:rStyle w:val="Hyperlink"/>
            <w:noProof/>
            <w14:scene3d>
              <w14:camera w14:prst="orthographicFront"/>
              <w14:lightRig w14:rig="threePt" w14:dir="t">
                <w14:rot w14:lat="0" w14:lon="0" w14:rev="0"/>
              </w14:lightRig>
            </w14:scene3d>
          </w:rPr>
          <w:t>Proposal 4</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CHO can be used as specified in Rel-16 and should not be further enhanced.</w:t>
        </w:r>
      </w:hyperlink>
    </w:p>
    <w:p w14:paraId="01D38AC8"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1" w:history="1">
        <w:r w:rsidR="00ED7B43" w:rsidRPr="00F4324B">
          <w:rPr>
            <w:rStyle w:val="Hyperlink"/>
            <w:noProof/>
            <w14:scene3d>
              <w14:camera w14:prst="orthographicFront"/>
              <w14:lightRig w14:rig="threePt" w14:dir="t">
                <w14:rot w14:lat="0" w14:lon="0" w14:rev="0"/>
              </w14:lightRig>
            </w14:scene3d>
          </w:rPr>
          <w:t>Proposal 5</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The legacy Rel-16 DAPS cannot be directly applied to IAB nodes.</w:t>
        </w:r>
      </w:hyperlink>
    </w:p>
    <w:p w14:paraId="2B7FC8AA"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2" w:history="1">
        <w:r w:rsidR="00ED7B43" w:rsidRPr="00F4324B">
          <w:rPr>
            <w:rStyle w:val="Hyperlink"/>
            <w:noProof/>
            <w14:scene3d>
              <w14:camera w14:prst="orthographicFront"/>
              <w14:lightRig w14:rig="threePt" w14:dir="t">
                <w14:rot w14:lat="0" w14:lon="0" w14:rev="0"/>
              </w14:lightRig>
            </w14:scene3d>
          </w:rPr>
          <w:t>Proposal 6</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A DAPS-like solution is introduced for addressing load balancing.</w:t>
        </w:r>
      </w:hyperlink>
    </w:p>
    <w:p w14:paraId="6041E977"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3" w:history="1">
        <w:r w:rsidR="00ED7B43" w:rsidRPr="00F4324B">
          <w:rPr>
            <w:rStyle w:val="Hyperlink"/>
            <w:noProof/>
            <w14:scene3d>
              <w14:camera w14:prst="orthographicFront"/>
              <w14:lightRig w14:rig="threePt" w14:dir="t">
                <w14:rot w14:lat="0" w14:lon="0" w14:rev="0"/>
              </w14:lightRig>
            </w14:scene3d>
          </w:rPr>
          <w:t>Proposal 7</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A DAPS-like solution is based on:</w:t>
        </w:r>
      </w:hyperlink>
    </w:p>
    <w:p w14:paraId="5BA6648D"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4" w:history="1">
        <w:r w:rsidR="00ED7B43" w:rsidRPr="00F4324B">
          <w:rPr>
            <w:rStyle w:val="Hyperlink"/>
            <w:noProof/>
          </w:rPr>
          <w:t>a.</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Two independent protocol stacks (RLC/MAC/PHY)</w:t>
        </w:r>
      </w:hyperlink>
    </w:p>
    <w:p w14:paraId="196C6BC3"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5" w:history="1">
        <w:r w:rsidR="00ED7B43" w:rsidRPr="00F4324B">
          <w:rPr>
            <w:rStyle w:val="Hyperlink"/>
            <w:noProof/>
          </w:rPr>
          <w:t>b.</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One or two independent BAP entities with some common and some independent functionalities.</w:t>
        </w:r>
      </w:hyperlink>
    </w:p>
    <w:p w14:paraId="6F6ED8F3" w14:textId="77777777" w:rsidR="00ED7B43" w:rsidRDefault="00304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5536" w:history="1">
        <w:r w:rsidR="00ED7B43" w:rsidRPr="00F4324B">
          <w:rPr>
            <w:rStyle w:val="Hyperlink"/>
            <w:noProof/>
          </w:rPr>
          <w:t>c.</w:t>
        </w:r>
        <w:r w:rsidR="00ED7B43">
          <w:rPr>
            <w:rFonts w:asciiTheme="minorHAnsi" w:eastAsiaTheme="minorEastAsia" w:hAnsiTheme="minorHAnsi" w:cstheme="minorBidi"/>
            <w:b w:val="0"/>
            <w:noProof/>
            <w:sz w:val="22"/>
            <w:szCs w:val="22"/>
            <w:lang w:val="sv-SE" w:eastAsia="sv-SE"/>
          </w:rPr>
          <w:tab/>
        </w:r>
        <w:r w:rsidR="00ED7B43" w:rsidRPr="00F4324B">
          <w:rPr>
            <w:rStyle w:val="Hyperlink"/>
            <w:noProof/>
          </w:rPr>
          <w:t>Each CU allocates its own resources (e.g., addresses, BH RLC channels, etc.) without the need for coordination, and configures each protocol stack.</w:t>
        </w:r>
      </w:hyperlink>
    </w:p>
    <w:p w14:paraId="256460F8" w14:textId="0A85DC90"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41B8FC11" w:rsidR="00F507D1" w:rsidRPr="00CE0424" w:rsidRDefault="00FD067B" w:rsidP="00CE0424">
      <w:pPr>
        <w:pStyle w:val="Heading1"/>
      </w:pPr>
      <w:bookmarkStart w:id="57" w:name="_In-sequence_SDU_delivery"/>
      <w:bookmarkEnd w:id="57"/>
      <w:r>
        <w:t xml:space="preserve">4 </w:t>
      </w:r>
      <w:r w:rsidR="00F507D1" w:rsidRPr="00CE0424">
        <w:t>References</w:t>
      </w:r>
    </w:p>
    <w:p w14:paraId="122CACAD" w14:textId="28304BDA" w:rsidR="003A7EF3" w:rsidRPr="00CE0424" w:rsidRDefault="00363AEB" w:rsidP="00CE0424">
      <w:pPr>
        <w:pStyle w:val="Reference"/>
      </w:pPr>
      <w:bookmarkStart w:id="58" w:name="_Ref174151459"/>
      <w:bookmarkStart w:id="59" w:name="_Ref189809556"/>
      <w:r>
        <w:t>R2-2010158</w:t>
      </w:r>
      <w:r w:rsidR="005F3025" w:rsidRPr="00CE0424">
        <w:t xml:space="preserve">, </w:t>
      </w:r>
      <w:r w:rsidRPr="00363AEB">
        <w:t>On WI scope and solutions for topology adaptation and inter-CU migration</w:t>
      </w:r>
      <w:r>
        <w:t>.</w:t>
      </w:r>
      <w:bookmarkEnd w:id="58"/>
      <w:bookmarkEnd w:id="59"/>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DC1908A" w16cex:dateUtc="2021-01-12T13: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46CF8" w14:textId="77777777" w:rsidR="00AB2D69" w:rsidRDefault="00AB2D69">
      <w:r>
        <w:separator/>
      </w:r>
    </w:p>
  </w:endnote>
  <w:endnote w:type="continuationSeparator" w:id="0">
    <w:p w14:paraId="47E5CCF1" w14:textId="77777777" w:rsidR="00AB2D69" w:rsidRDefault="00AB2D69">
      <w:r>
        <w:continuationSeparator/>
      </w:r>
    </w:p>
  </w:endnote>
  <w:endnote w:type="continuationNotice" w:id="1">
    <w:p w14:paraId="0E2BA56D" w14:textId="77777777" w:rsidR="00AB2D69" w:rsidRDefault="00AB2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06997" w14:textId="77777777" w:rsidR="00955AEE" w:rsidRDefault="00955A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95992" w14:textId="77777777" w:rsidR="00AB2D69" w:rsidRDefault="00AB2D69">
      <w:r>
        <w:separator/>
      </w:r>
    </w:p>
  </w:footnote>
  <w:footnote w:type="continuationSeparator" w:id="0">
    <w:p w14:paraId="39ABD92D" w14:textId="77777777" w:rsidR="00AB2D69" w:rsidRDefault="00AB2D69">
      <w:r>
        <w:continuationSeparator/>
      </w:r>
    </w:p>
  </w:footnote>
  <w:footnote w:type="continuationNotice" w:id="1">
    <w:p w14:paraId="69A22810" w14:textId="77777777" w:rsidR="00AB2D69" w:rsidRDefault="00AB2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46343" w14:textId="77777777" w:rsidR="00955AEE" w:rsidRDefault="00955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6"/>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7"/>
  </w:num>
  <w:num w:numId="21">
    <w:abstractNumId w:val="13"/>
  </w:num>
  <w:num w:numId="22">
    <w:abstractNumId w:val="2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5"/>
  </w:num>
  <w:num w:numId="30">
    <w:abstractNumId w:val="5"/>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2B8"/>
    <w:rsid w:val="000053BB"/>
    <w:rsid w:val="0000564C"/>
    <w:rsid w:val="00006446"/>
    <w:rsid w:val="0000650A"/>
    <w:rsid w:val="00006896"/>
    <w:rsid w:val="00007CDC"/>
    <w:rsid w:val="0001025A"/>
    <w:rsid w:val="00010429"/>
    <w:rsid w:val="00011B28"/>
    <w:rsid w:val="00015D15"/>
    <w:rsid w:val="000234C9"/>
    <w:rsid w:val="0002564D"/>
    <w:rsid w:val="00025ECA"/>
    <w:rsid w:val="000325B8"/>
    <w:rsid w:val="0003291C"/>
    <w:rsid w:val="00034C15"/>
    <w:rsid w:val="00036BA1"/>
    <w:rsid w:val="000422E2"/>
    <w:rsid w:val="00042F22"/>
    <w:rsid w:val="000444EF"/>
    <w:rsid w:val="00052A07"/>
    <w:rsid w:val="000534E3"/>
    <w:rsid w:val="0005606A"/>
    <w:rsid w:val="00057117"/>
    <w:rsid w:val="000608F6"/>
    <w:rsid w:val="000616E7"/>
    <w:rsid w:val="000645D9"/>
    <w:rsid w:val="0006487E"/>
    <w:rsid w:val="0006598B"/>
    <w:rsid w:val="00065B99"/>
    <w:rsid w:val="00065E1A"/>
    <w:rsid w:val="00076BC7"/>
    <w:rsid w:val="00077E5F"/>
    <w:rsid w:val="0008036A"/>
    <w:rsid w:val="00081AE6"/>
    <w:rsid w:val="00082089"/>
    <w:rsid w:val="0008412E"/>
    <w:rsid w:val="000855EB"/>
    <w:rsid w:val="00085B52"/>
    <w:rsid w:val="000866F2"/>
    <w:rsid w:val="00087C6E"/>
    <w:rsid w:val="0009009F"/>
    <w:rsid w:val="00091557"/>
    <w:rsid w:val="000924C1"/>
    <w:rsid w:val="000924F0"/>
    <w:rsid w:val="00093474"/>
    <w:rsid w:val="0009510F"/>
    <w:rsid w:val="000A0ED8"/>
    <w:rsid w:val="000A1405"/>
    <w:rsid w:val="000A1B7B"/>
    <w:rsid w:val="000A4FB0"/>
    <w:rsid w:val="000A56F2"/>
    <w:rsid w:val="000A7C4D"/>
    <w:rsid w:val="000B1E59"/>
    <w:rsid w:val="000B2719"/>
    <w:rsid w:val="000B27AF"/>
    <w:rsid w:val="000B3A8F"/>
    <w:rsid w:val="000B4AB9"/>
    <w:rsid w:val="000B58C3"/>
    <w:rsid w:val="000B61E9"/>
    <w:rsid w:val="000C165A"/>
    <w:rsid w:val="000C2E19"/>
    <w:rsid w:val="000C6360"/>
    <w:rsid w:val="000C6B33"/>
    <w:rsid w:val="000D0537"/>
    <w:rsid w:val="000D0D07"/>
    <w:rsid w:val="000D290D"/>
    <w:rsid w:val="000D4797"/>
    <w:rsid w:val="000E0527"/>
    <w:rsid w:val="000E1E92"/>
    <w:rsid w:val="000E28B8"/>
    <w:rsid w:val="000E395D"/>
    <w:rsid w:val="000E49EB"/>
    <w:rsid w:val="000E5504"/>
    <w:rsid w:val="000E5CAA"/>
    <w:rsid w:val="000F0461"/>
    <w:rsid w:val="000F06D6"/>
    <w:rsid w:val="000F0EB1"/>
    <w:rsid w:val="000F1106"/>
    <w:rsid w:val="000F3BE9"/>
    <w:rsid w:val="000F3F6C"/>
    <w:rsid w:val="000F6DF3"/>
    <w:rsid w:val="001005FF"/>
    <w:rsid w:val="00103569"/>
    <w:rsid w:val="00103B8B"/>
    <w:rsid w:val="001062FB"/>
    <w:rsid w:val="001063E6"/>
    <w:rsid w:val="00113CF4"/>
    <w:rsid w:val="001153EA"/>
    <w:rsid w:val="00115446"/>
    <w:rsid w:val="00115643"/>
    <w:rsid w:val="00115B4F"/>
    <w:rsid w:val="00115DA0"/>
    <w:rsid w:val="00116765"/>
    <w:rsid w:val="00117835"/>
    <w:rsid w:val="001219F5"/>
    <w:rsid w:val="00121A20"/>
    <w:rsid w:val="0012377F"/>
    <w:rsid w:val="00124314"/>
    <w:rsid w:val="00126B4A"/>
    <w:rsid w:val="0013024F"/>
    <w:rsid w:val="00130F1F"/>
    <w:rsid w:val="00132FD0"/>
    <w:rsid w:val="00133709"/>
    <w:rsid w:val="00133FBF"/>
    <w:rsid w:val="001344C0"/>
    <w:rsid w:val="001346FA"/>
    <w:rsid w:val="00135252"/>
    <w:rsid w:val="00137AB5"/>
    <w:rsid w:val="00137F0B"/>
    <w:rsid w:val="00151E23"/>
    <w:rsid w:val="001526E0"/>
    <w:rsid w:val="001551B5"/>
    <w:rsid w:val="0015544D"/>
    <w:rsid w:val="00155B3E"/>
    <w:rsid w:val="00156FB3"/>
    <w:rsid w:val="00160B2D"/>
    <w:rsid w:val="0016564C"/>
    <w:rsid w:val="001659C1"/>
    <w:rsid w:val="00167809"/>
    <w:rsid w:val="00173A8E"/>
    <w:rsid w:val="00173D80"/>
    <w:rsid w:val="00173F04"/>
    <w:rsid w:val="001741AF"/>
    <w:rsid w:val="0017502C"/>
    <w:rsid w:val="0018143F"/>
    <w:rsid w:val="00181FF8"/>
    <w:rsid w:val="001837C9"/>
    <w:rsid w:val="00184E86"/>
    <w:rsid w:val="00187AED"/>
    <w:rsid w:val="00190AC1"/>
    <w:rsid w:val="0019341A"/>
    <w:rsid w:val="0019541C"/>
    <w:rsid w:val="00197C2F"/>
    <w:rsid w:val="00197DF9"/>
    <w:rsid w:val="001A1987"/>
    <w:rsid w:val="001A2564"/>
    <w:rsid w:val="001A4390"/>
    <w:rsid w:val="001A6173"/>
    <w:rsid w:val="001A6CBA"/>
    <w:rsid w:val="001B0D97"/>
    <w:rsid w:val="001B1A5F"/>
    <w:rsid w:val="001B44D9"/>
    <w:rsid w:val="001B5A5D"/>
    <w:rsid w:val="001C0905"/>
    <w:rsid w:val="001C1CE5"/>
    <w:rsid w:val="001C3D2A"/>
    <w:rsid w:val="001C5D07"/>
    <w:rsid w:val="001D24AD"/>
    <w:rsid w:val="001D51BA"/>
    <w:rsid w:val="001D53E7"/>
    <w:rsid w:val="001D6342"/>
    <w:rsid w:val="001D6D53"/>
    <w:rsid w:val="001E58E2"/>
    <w:rsid w:val="001E7AED"/>
    <w:rsid w:val="001F0846"/>
    <w:rsid w:val="001F3190"/>
    <w:rsid w:val="001F3916"/>
    <w:rsid w:val="001F54C5"/>
    <w:rsid w:val="001F662C"/>
    <w:rsid w:val="001F7074"/>
    <w:rsid w:val="00200490"/>
    <w:rsid w:val="00200611"/>
    <w:rsid w:val="0020124D"/>
    <w:rsid w:val="00201F3A"/>
    <w:rsid w:val="00203F96"/>
    <w:rsid w:val="00205B01"/>
    <w:rsid w:val="002069B2"/>
    <w:rsid w:val="00207FA3"/>
    <w:rsid w:val="002109CA"/>
    <w:rsid w:val="00214DA8"/>
    <w:rsid w:val="00215423"/>
    <w:rsid w:val="002158FA"/>
    <w:rsid w:val="00220600"/>
    <w:rsid w:val="0022090A"/>
    <w:rsid w:val="002224DB"/>
    <w:rsid w:val="00223FCB"/>
    <w:rsid w:val="002252C3"/>
    <w:rsid w:val="00225C54"/>
    <w:rsid w:val="002263EE"/>
    <w:rsid w:val="00226CD7"/>
    <w:rsid w:val="00230765"/>
    <w:rsid w:val="00230D18"/>
    <w:rsid w:val="002319E4"/>
    <w:rsid w:val="00235632"/>
    <w:rsid w:val="00235872"/>
    <w:rsid w:val="00241559"/>
    <w:rsid w:val="002435B3"/>
    <w:rsid w:val="0024551C"/>
    <w:rsid w:val="002458EB"/>
    <w:rsid w:val="0024609C"/>
    <w:rsid w:val="002500C8"/>
    <w:rsid w:val="00251442"/>
    <w:rsid w:val="00257543"/>
    <w:rsid w:val="002617E7"/>
    <w:rsid w:val="00261919"/>
    <w:rsid w:val="002626C9"/>
    <w:rsid w:val="00262EE4"/>
    <w:rsid w:val="00264228"/>
    <w:rsid w:val="00264334"/>
    <w:rsid w:val="0026473E"/>
    <w:rsid w:val="00266214"/>
    <w:rsid w:val="00267C83"/>
    <w:rsid w:val="00267F7A"/>
    <w:rsid w:val="002712B4"/>
    <w:rsid w:val="0027144F"/>
    <w:rsid w:val="00271813"/>
    <w:rsid w:val="00271F3A"/>
    <w:rsid w:val="00273278"/>
    <w:rsid w:val="002737F4"/>
    <w:rsid w:val="002805F5"/>
    <w:rsid w:val="00280751"/>
    <w:rsid w:val="00280FEC"/>
    <w:rsid w:val="0028280A"/>
    <w:rsid w:val="00285150"/>
    <w:rsid w:val="00286ACD"/>
    <w:rsid w:val="00287838"/>
    <w:rsid w:val="00287EBF"/>
    <w:rsid w:val="002907B5"/>
    <w:rsid w:val="00292EB7"/>
    <w:rsid w:val="00296227"/>
    <w:rsid w:val="00296F44"/>
    <w:rsid w:val="0029777D"/>
    <w:rsid w:val="002A055E"/>
    <w:rsid w:val="002A1BB6"/>
    <w:rsid w:val="002A1D4E"/>
    <w:rsid w:val="002A2869"/>
    <w:rsid w:val="002B24D6"/>
    <w:rsid w:val="002B3676"/>
    <w:rsid w:val="002B40A6"/>
    <w:rsid w:val="002B59D1"/>
    <w:rsid w:val="002C0ACF"/>
    <w:rsid w:val="002C16A2"/>
    <w:rsid w:val="002C41E6"/>
    <w:rsid w:val="002D071A"/>
    <w:rsid w:val="002D34B2"/>
    <w:rsid w:val="002D48B0"/>
    <w:rsid w:val="002D5B37"/>
    <w:rsid w:val="002D5C4B"/>
    <w:rsid w:val="002D7637"/>
    <w:rsid w:val="002E165F"/>
    <w:rsid w:val="002E17F2"/>
    <w:rsid w:val="002E3CDD"/>
    <w:rsid w:val="002E4853"/>
    <w:rsid w:val="002E7B39"/>
    <w:rsid w:val="002E7CAE"/>
    <w:rsid w:val="002F2771"/>
    <w:rsid w:val="002F37A9"/>
    <w:rsid w:val="00301CE6"/>
    <w:rsid w:val="0030256B"/>
    <w:rsid w:val="0030292B"/>
    <w:rsid w:val="00304913"/>
    <w:rsid w:val="00304B50"/>
    <w:rsid w:val="0030501F"/>
    <w:rsid w:val="00307BA1"/>
    <w:rsid w:val="00311702"/>
    <w:rsid w:val="00311E82"/>
    <w:rsid w:val="00313EDF"/>
    <w:rsid w:val="00313FD6"/>
    <w:rsid w:val="003143BD"/>
    <w:rsid w:val="00315363"/>
    <w:rsid w:val="00315DE1"/>
    <w:rsid w:val="003203ED"/>
    <w:rsid w:val="00322C9F"/>
    <w:rsid w:val="00324346"/>
    <w:rsid w:val="00324D23"/>
    <w:rsid w:val="003252C6"/>
    <w:rsid w:val="00326D36"/>
    <w:rsid w:val="00331751"/>
    <w:rsid w:val="00334579"/>
    <w:rsid w:val="00335858"/>
    <w:rsid w:val="00336BDA"/>
    <w:rsid w:val="0034073A"/>
    <w:rsid w:val="00342BD7"/>
    <w:rsid w:val="0034470A"/>
    <w:rsid w:val="00346DB5"/>
    <w:rsid w:val="003477B1"/>
    <w:rsid w:val="00357380"/>
    <w:rsid w:val="003602D9"/>
    <w:rsid w:val="003604CE"/>
    <w:rsid w:val="00362265"/>
    <w:rsid w:val="00363AEB"/>
    <w:rsid w:val="00367A68"/>
    <w:rsid w:val="0037046E"/>
    <w:rsid w:val="00370E47"/>
    <w:rsid w:val="003742AC"/>
    <w:rsid w:val="00376C21"/>
    <w:rsid w:val="00377CE1"/>
    <w:rsid w:val="0038113E"/>
    <w:rsid w:val="003836ED"/>
    <w:rsid w:val="00384584"/>
    <w:rsid w:val="00385BF0"/>
    <w:rsid w:val="003939FF"/>
    <w:rsid w:val="00394A05"/>
    <w:rsid w:val="003A2223"/>
    <w:rsid w:val="003A2A0F"/>
    <w:rsid w:val="003A3D71"/>
    <w:rsid w:val="003A45A1"/>
    <w:rsid w:val="003A5B0A"/>
    <w:rsid w:val="003A61DE"/>
    <w:rsid w:val="003A6BAC"/>
    <w:rsid w:val="003A70A4"/>
    <w:rsid w:val="003A7EF3"/>
    <w:rsid w:val="003B04C1"/>
    <w:rsid w:val="003B159C"/>
    <w:rsid w:val="003B369F"/>
    <w:rsid w:val="003B36A3"/>
    <w:rsid w:val="003B4A01"/>
    <w:rsid w:val="003B64BB"/>
    <w:rsid w:val="003B6796"/>
    <w:rsid w:val="003B7216"/>
    <w:rsid w:val="003B7FE5"/>
    <w:rsid w:val="003C11C8"/>
    <w:rsid w:val="003C1C71"/>
    <w:rsid w:val="003C2702"/>
    <w:rsid w:val="003C5584"/>
    <w:rsid w:val="003C7806"/>
    <w:rsid w:val="003D109F"/>
    <w:rsid w:val="003D2478"/>
    <w:rsid w:val="003D268D"/>
    <w:rsid w:val="003D3C45"/>
    <w:rsid w:val="003D5B1F"/>
    <w:rsid w:val="003E01EB"/>
    <w:rsid w:val="003E07BF"/>
    <w:rsid w:val="003E15FA"/>
    <w:rsid w:val="003E2B53"/>
    <w:rsid w:val="003E55E4"/>
    <w:rsid w:val="003E74E3"/>
    <w:rsid w:val="003F05C7"/>
    <w:rsid w:val="003F2CD4"/>
    <w:rsid w:val="003F4121"/>
    <w:rsid w:val="003F53D1"/>
    <w:rsid w:val="003F6BBE"/>
    <w:rsid w:val="003F71AA"/>
    <w:rsid w:val="004000BE"/>
    <w:rsid w:val="004000E8"/>
    <w:rsid w:val="00402E2B"/>
    <w:rsid w:val="0040512B"/>
    <w:rsid w:val="00405CA5"/>
    <w:rsid w:val="00407CD3"/>
    <w:rsid w:val="00407F94"/>
    <w:rsid w:val="00410134"/>
    <w:rsid w:val="00410B72"/>
    <w:rsid w:val="00410F18"/>
    <w:rsid w:val="00411B81"/>
    <w:rsid w:val="00411C9F"/>
    <w:rsid w:val="0041263E"/>
    <w:rsid w:val="00413AAC"/>
    <w:rsid w:val="00413E92"/>
    <w:rsid w:val="00421105"/>
    <w:rsid w:val="00422AA4"/>
    <w:rsid w:val="004234A6"/>
    <w:rsid w:val="00423B81"/>
    <w:rsid w:val="004242F4"/>
    <w:rsid w:val="0042487B"/>
    <w:rsid w:val="00424EEF"/>
    <w:rsid w:val="00427248"/>
    <w:rsid w:val="0042748E"/>
    <w:rsid w:val="00431105"/>
    <w:rsid w:val="004317F2"/>
    <w:rsid w:val="00434203"/>
    <w:rsid w:val="00437447"/>
    <w:rsid w:val="00441989"/>
    <w:rsid w:val="00441A92"/>
    <w:rsid w:val="00441EC1"/>
    <w:rsid w:val="00441F0F"/>
    <w:rsid w:val="004431DC"/>
    <w:rsid w:val="00444F56"/>
    <w:rsid w:val="004459B8"/>
    <w:rsid w:val="00446488"/>
    <w:rsid w:val="004517AA"/>
    <w:rsid w:val="00452CAC"/>
    <w:rsid w:val="004557ED"/>
    <w:rsid w:val="00456F16"/>
    <w:rsid w:val="00457565"/>
    <w:rsid w:val="00457B71"/>
    <w:rsid w:val="004669A1"/>
    <w:rsid w:val="004669E2"/>
    <w:rsid w:val="00470C31"/>
    <w:rsid w:val="00471DE0"/>
    <w:rsid w:val="00472F63"/>
    <w:rsid w:val="004734D0"/>
    <w:rsid w:val="0047556B"/>
    <w:rsid w:val="00476EE8"/>
    <w:rsid w:val="00477768"/>
    <w:rsid w:val="00485192"/>
    <w:rsid w:val="00490600"/>
    <w:rsid w:val="00492BC5"/>
    <w:rsid w:val="004932E3"/>
    <w:rsid w:val="004964F1"/>
    <w:rsid w:val="004A16BC"/>
    <w:rsid w:val="004A2B94"/>
    <w:rsid w:val="004A4E9A"/>
    <w:rsid w:val="004B128F"/>
    <w:rsid w:val="004B4561"/>
    <w:rsid w:val="004B6F6A"/>
    <w:rsid w:val="004B7C0C"/>
    <w:rsid w:val="004C3898"/>
    <w:rsid w:val="004D36B1"/>
    <w:rsid w:val="004D7EBD"/>
    <w:rsid w:val="004E08CD"/>
    <w:rsid w:val="004E2680"/>
    <w:rsid w:val="004E28F9"/>
    <w:rsid w:val="004E462E"/>
    <w:rsid w:val="004E56DC"/>
    <w:rsid w:val="004E76F4"/>
    <w:rsid w:val="004F0B4E"/>
    <w:rsid w:val="004F0B6C"/>
    <w:rsid w:val="004F158D"/>
    <w:rsid w:val="004F2078"/>
    <w:rsid w:val="004F3B6B"/>
    <w:rsid w:val="004F4DA3"/>
    <w:rsid w:val="004F51EA"/>
    <w:rsid w:val="004F6915"/>
    <w:rsid w:val="005026F6"/>
    <w:rsid w:val="00506557"/>
    <w:rsid w:val="0050677A"/>
    <w:rsid w:val="005108D8"/>
    <w:rsid w:val="005111E8"/>
    <w:rsid w:val="005116F9"/>
    <w:rsid w:val="00513083"/>
    <w:rsid w:val="005153A7"/>
    <w:rsid w:val="005219CF"/>
    <w:rsid w:val="005278A4"/>
    <w:rsid w:val="0053194F"/>
    <w:rsid w:val="00531F68"/>
    <w:rsid w:val="00532AA6"/>
    <w:rsid w:val="00534B59"/>
    <w:rsid w:val="00536759"/>
    <w:rsid w:val="00537C62"/>
    <w:rsid w:val="00542C9F"/>
    <w:rsid w:val="00545D47"/>
    <w:rsid w:val="00546970"/>
    <w:rsid w:val="005501D0"/>
    <w:rsid w:val="00554555"/>
    <w:rsid w:val="00554E19"/>
    <w:rsid w:val="00555291"/>
    <w:rsid w:val="0055700A"/>
    <w:rsid w:val="005609EB"/>
    <w:rsid w:val="0056121F"/>
    <w:rsid w:val="005674F1"/>
    <w:rsid w:val="00567D8F"/>
    <w:rsid w:val="00571139"/>
    <w:rsid w:val="0057134A"/>
    <w:rsid w:val="00571ABC"/>
    <w:rsid w:val="00572505"/>
    <w:rsid w:val="0058229A"/>
    <w:rsid w:val="00582809"/>
    <w:rsid w:val="00583A11"/>
    <w:rsid w:val="005844EE"/>
    <w:rsid w:val="00586B96"/>
    <w:rsid w:val="00587605"/>
    <w:rsid w:val="0058798C"/>
    <w:rsid w:val="00587BAA"/>
    <w:rsid w:val="005900FA"/>
    <w:rsid w:val="005902D9"/>
    <w:rsid w:val="005935A4"/>
    <w:rsid w:val="005948C2"/>
    <w:rsid w:val="00594A12"/>
    <w:rsid w:val="00595DCA"/>
    <w:rsid w:val="0059779B"/>
    <w:rsid w:val="005A209A"/>
    <w:rsid w:val="005A50FC"/>
    <w:rsid w:val="005A662D"/>
    <w:rsid w:val="005B0C85"/>
    <w:rsid w:val="005B0E4C"/>
    <w:rsid w:val="005B1409"/>
    <w:rsid w:val="005B35D7"/>
    <w:rsid w:val="005B392A"/>
    <w:rsid w:val="005B3AA3"/>
    <w:rsid w:val="005B4B0C"/>
    <w:rsid w:val="005B5393"/>
    <w:rsid w:val="005B67CD"/>
    <w:rsid w:val="005B6F83"/>
    <w:rsid w:val="005C1868"/>
    <w:rsid w:val="005C4762"/>
    <w:rsid w:val="005C74FB"/>
    <w:rsid w:val="005D1602"/>
    <w:rsid w:val="005E1B73"/>
    <w:rsid w:val="005E28CF"/>
    <w:rsid w:val="005E385F"/>
    <w:rsid w:val="005E5B81"/>
    <w:rsid w:val="005E7BAB"/>
    <w:rsid w:val="005F2CB1"/>
    <w:rsid w:val="005F3025"/>
    <w:rsid w:val="005F5471"/>
    <w:rsid w:val="005F618C"/>
    <w:rsid w:val="005F6B2F"/>
    <w:rsid w:val="005F70BD"/>
    <w:rsid w:val="006006CA"/>
    <w:rsid w:val="0060283C"/>
    <w:rsid w:val="00604F14"/>
    <w:rsid w:val="00605B86"/>
    <w:rsid w:val="00611B83"/>
    <w:rsid w:val="00613257"/>
    <w:rsid w:val="00620961"/>
    <w:rsid w:val="00620A71"/>
    <w:rsid w:val="00620D80"/>
    <w:rsid w:val="006234A6"/>
    <w:rsid w:val="00626A3F"/>
    <w:rsid w:val="00630001"/>
    <w:rsid w:val="006311B3"/>
    <w:rsid w:val="0063284C"/>
    <w:rsid w:val="00634553"/>
    <w:rsid w:val="00634907"/>
    <w:rsid w:val="00636398"/>
    <w:rsid w:val="006368D3"/>
    <w:rsid w:val="00636F07"/>
    <w:rsid w:val="00636F09"/>
    <w:rsid w:val="006377EC"/>
    <w:rsid w:val="00641332"/>
    <w:rsid w:val="0064151F"/>
    <w:rsid w:val="00641533"/>
    <w:rsid w:val="0064208D"/>
    <w:rsid w:val="006423AA"/>
    <w:rsid w:val="006426C6"/>
    <w:rsid w:val="00643475"/>
    <w:rsid w:val="00643800"/>
    <w:rsid w:val="0064396A"/>
    <w:rsid w:val="0064624E"/>
    <w:rsid w:val="006474D7"/>
    <w:rsid w:val="00650AB9"/>
    <w:rsid w:val="006514A9"/>
    <w:rsid w:val="00651C0D"/>
    <w:rsid w:val="006521C8"/>
    <w:rsid w:val="00653912"/>
    <w:rsid w:val="00655733"/>
    <w:rsid w:val="00655781"/>
    <w:rsid w:val="00655ACD"/>
    <w:rsid w:val="00656A92"/>
    <w:rsid w:val="00656DDE"/>
    <w:rsid w:val="00657BA6"/>
    <w:rsid w:val="0066011D"/>
    <w:rsid w:val="0066052C"/>
    <w:rsid w:val="006607C0"/>
    <w:rsid w:val="006613A6"/>
    <w:rsid w:val="00662116"/>
    <w:rsid w:val="006627A2"/>
    <w:rsid w:val="006634E6"/>
    <w:rsid w:val="00665174"/>
    <w:rsid w:val="006655EE"/>
    <w:rsid w:val="00667EE7"/>
    <w:rsid w:val="00670922"/>
    <w:rsid w:val="00670BE1"/>
    <w:rsid w:val="0067191B"/>
    <w:rsid w:val="0067218F"/>
    <w:rsid w:val="0067290C"/>
    <w:rsid w:val="006741F2"/>
    <w:rsid w:val="00674CC3"/>
    <w:rsid w:val="00675C72"/>
    <w:rsid w:val="006771F9"/>
    <w:rsid w:val="006776D7"/>
    <w:rsid w:val="00681003"/>
    <w:rsid w:val="006817C9"/>
    <w:rsid w:val="00683ECE"/>
    <w:rsid w:val="0068644B"/>
    <w:rsid w:val="0069122A"/>
    <w:rsid w:val="00695FC2"/>
    <w:rsid w:val="006964AE"/>
    <w:rsid w:val="00696949"/>
    <w:rsid w:val="00696EF7"/>
    <w:rsid w:val="00697052"/>
    <w:rsid w:val="006A1EF1"/>
    <w:rsid w:val="006A26FA"/>
    <w:rsid w:val="006A3B07"/>
    <w:rsid w:val="006A46FB"/>
    <w:rsid w:val="006A5E28"/>
    <w:rsid w:val="006A5EF5"/>
    <w:rsid w:val="006A697B"/>
    <w:rsid w:val="006A7AFF"/>
    <w:rsid w:val="006B0963"/>
    <w:rsid w:val="006B1816"/>
    <w:rsid w:val="006B2099"/>
    <w:rsid w:val="006B299D"/>
    <w:rsid w:val="006B50CF"/>
    <w:rsid w:val="006C03B8"/>
    <w:rsid w:val="006C0940"/>
    <w:rsid w:val="006C24D8"/>
    <w:rsid w:val="006C5EC9"/>
    <w:rsid w:val="006C6059"/>
    <w:rsid w:val="006C7522"/>
    <w:rsid w:val="006D116D"/>
    <w:rsid w:val="006D25C9"/>
    <w:rsid w:val="006D5C7C"/>
    <w:rsid w:val="006D6F08"/>
    <w:rsid w:val="006E0132"/>
    <w:rsid w:val="006E062C"/>
    <w:rsid w:val="006E1C82"/>
    <w:rsid w:val="006E28B7"/>
    <w:rsid w:val="006E2A9B"/>
    <w:rsid w:val="006E3310"/>
    <w:rsid w:val="006E4E39"/>
    <w:rsid w:val="006E50A6"/>
    <w:rsid w:val="006E565E"/>
    <w:rsid w:val="006E673D"/>
    <w:rsid w:val="006E7D3B"/>
    <w:rsid w:val="006E7E4F"/>
    <w:rsid w:val="006F0FEC"/>
    <w:rsid w:val="006F1B70"/>
    <w:rsid w:val="006F2C21"/>
    <w:rsid w:val="006F341D"/>
    <w:rsid w:val="006F3CDE"/>
    <w:rsid w:val="006F4133"/>
    <w:rsid w:val="006F58D4"/>
    <w:rsid w:val="006F5F6F"/>
    <w:rsid w:val="006F6582"/>
    <w:rsid w:val="0070149C"/>
    <w:rsid w:val="0070346E"/>
    <w:rsid w:val="00704EDB"/>
    <w:rsid w:val="00706101"/>
    <w:rsid w:val="00706615"/>
    <w:rsid w:val="00707072"/>
    <w:rsid w:val="00707D61"/>
    <w:rsid w:val="00712287"/>
    <w:rsid w:val="00712772"/>
    <w:rsid w:val="007148D3"/>
    <w:rsid w:val="00715B9A"/>
    <w:rsid w:val="00722318"/>
    <w:rsid w:val="00724170"/>
    <w:rsid w:val="007257D0"/>
    <w:rsid w:val="007264A8"/>
    <w:rsid w:val="00726EA6"/>
    <w:rsid w:val="00727208"/>
    <w:rsid w:val="00727680"/>
    <w:rsid w:val="00731426"/>
    <w:rsid w:val="007348B1"/>
    <w:rsid w:val="007362A6"/>
    <w:rsid w:val="00736D7D"/>
    <w:rsid w:val="00740E58"/>
    <w:rsid w:val="007445A0"/>
    <w:rsid w:val="0074524B"/>
    <w:rsid w:val="00747D8B"/>
    <w:rsid w:val="00751228"/>
    <w:rsid w:val="0075346B"/>
    <w:rsid w:val="007546C0"/>
    <w:rsid w:val="007560D9"/>
    <w:rsid w:val="00756503"/>
    <w:rsid w:val="00756599"/>
    <w:rsid w:val="007571E1"/>
    <w:rsid w:val="00757A16"/>
    <w:rsid w:val="007604B2"/>
    <w:rsid w:val="00765037"/>
    <w:rsid w:val="00765281"/>
    <w:rsid w:val="007661A6"/>
    <w:rsid w:val="00766BAD"/>
    <w:rsid w:val="00767227"/>
    <w:rsid w:val="007729A2"/>
    <w:rsid w:val="007755F2"/>
    <w:rsid w:val="0077625A"/>
    <w:rsid w:val="007763DC"/>
    <w:rsid w:val="00776971"/>
    <w:rsid w:val="0078038F"/>
    <w:rsid w:val="0078069D"/>
    <w:rsid w:val="00780A80"/>
    <w:rsid w:val="0078177E"/>
    <w:rsid w:val="0078304C"/>
    <w:rsid w:val="00783673"/>
    <w:rsid w:val="00785490"/>
    <w:rsid w:val="00787F25"/>
    <w:rsid w:val="00790F0E"/>
    <w:rsid w:val="00791415"/>
    <w:rsid w:val="00791573"/>
    <w:rsid w:val="00791962"/>
    <w:rsid w:val="007925EA"/>
    <w:rsid w:val="00793CD8"/>
    <w:rsid w:val="00795C92"/>
    <w:rsid w:val="00796231"/>
    <w:rsid w:val="007A0293"/>
    <w:rsid w:val="007A1CB3"/>
    <w:rsid w:val="007A306F"/>
    <w:rsid w:val="007A317A"/>
    <w:rsid w:val="007A43A6"/>
    <w:rsid w:val="007A58A6"/>
    <w:rsid w:val="007A5B37"/>
    <w:rsid w:val="007B3C76"/>
    <w:rsid w:val="007B3D2D"/>
    <w:rsid w:val="007B50AE"/>
    <w:rsid w:val="007B51DF"/>
    <w:rsid w:val="007B529F"/>
    <w:rsid w:val="007C05DD"/>
    <w:rsid w:val="007C209F"/>
    <w:rsid w:val="007C3D18"/>
    <w:rsid w:val="007C60BF"/>
    <w:rsid w:val="007C6A07"/>
    <w:rsid w:val="007C75A1"/>
    <w:rsid w:val="007C77A5"/>
    <w:rsid w:val="007D00C9"/>
    <w:rsid w:val="007D04E5"/>
    <w:rsid w:val="007D5901"/>
    <w:rsid w:val="007D7526"/>
    <w:rsid w:val="007D7CB3"/>
    <w:rsid w:val="007E4610"/>
    <w:rsid w:val="007E4715"/>
    <w:rsid w:val="007E505B"/>
    <w:rsid w:val="007E7091"/>
    <w:rsid w:val="007F190A"/>
    <w:rsid w:val="007F1C3C"/>
    <w:rsid w:val="007F516E"/>
    <w:rsid w:val="00800AD4"/>
    <w:rsid w:val="00803FAE"/>
    <w:rsid w:val="00804152"/>
    <w:rsid w:val="0080605F"/>
    <w:rsid w:val="00807786"/>
    <w:rsid w:val="00811F4E"/>
    <w:rsid w:val="00811FCB"/>
    <w:rsid w:val="00814E94"/>
    <w:rsid w:val="008158D6"/>
    <w:rsid w:val="00816410"/>
    <w:rsid w:val="00817196"/>
    <w:rsid w:val="00817D2F"/>
    <w:rsid w:val="008235DB"/>
    <w:rsid w:val="00824AB4"/>
    <w:rsid w:val="00825C42"/>
    <w:rsid w:val="00825D25"/>
    <w:rsid w:val="00827D6F"/>
    <w:rsid w:val="00830A35"/>
    <w:rsid w:val="00832F93"/>
    <w:rsid w:val="00834D9A"/>
    <w:rsid w:val="00836335"/>
    <w:rsid w:val="0083731F"/>
    <w:rsid w:val="008376AC"/>
    <w:rsid w:val="00841806"/>
    <w:rsid w:val="00843E8F"/>
    <w:rsid w:val="008444E8"/>
    <w:rsid w:val="00844E80"/>
    <w:rsid w:val="00846FE7"/>
    <w:rsid w:val="00851EA6"/>
    <w:rsid w:val="008545B1"/>
    <w:rsid w:val="00856911"/>
    <w:rsid w:val="00862A41"/>
    <w:rsid w:val="0086768A"/>
    <w:rsid w:val="008677FD"/>
    <w:rsid w:val="008706D4"/>
    <w:rsid w:val="00870F8A"/>
    <w:rsid w:val="008719A4"/>
    <w:rsid w:val="00871D23"/>
    <w:rsid w:val="00873670"/>
    <w:rsid w:val="0087378C"/>
    <w:rsid w:val="00874312"/>
    <w:rsid w:val="0087437C"/>
    <w:rsid w:val="00874F56"/>
    <w:rsid w:val="00875CD7"/>
    <w:rsid w:val="00876B4D"/>
    <w:rsid w:val="00877F18"/>
    <w:rsid w:val="00883ED2"/>
    <w:rsid w:val="008872BC"/>
    <w:rsid w:val="008874D3"/>
    <w:rsid w:val="00893617"/>
    <w:rsid w:val="00894029"/>
    <w:rsid w:val="008941E3"/>
    <w:rsid w:val="00894A88"/>
    <w:rsid w:val="00895386"/>
    <w:rsid w:val="008A21FF"/>
    <w:rsid w:val="008A2CE2"/>
    <w:rsid w:val="008A30AC"/>
    <w:rsid w:val="008A44B8"/>
    <w:rsid w:val="008A51A8"/>
    <w:rsid w:val="008A54C7"/>
    <w:rsid w:val="008A67B8"/>
    <w:rsid w:val="008A67D9"/>
    <w:rsid w:val="008A77D8"/>
    <w:rsid w:val="008B0483"/>
    <w:rsid w:val="008B120C"/>
    <w:rsid w:val="008B51A0"/>
    <w:rsid w:val="008B559C"/>
    <w:rsid w:val="008B592A"/>
    <w:rsid w:val="008B7077"/>
    <w:rsid w:val="008B7B5C"/>
    <w:rsid w:val="008C085B"/>
    <w:rsid w:val="008C0C99"/>
    <w:rsid w:val="008C182A"/>
    <w:rsid w:val="008C2017"/>
    <w:rsid w:val="008C4958"/>
    <w:rsid w:val="008C4BAA"/>
    <w:rsid w:val="008C6AE8"/>
    <w:rsid w:val="008C7573"/>
    <w:rsid w:val="008D00A5"/>
    <w:rsid w:val="008D310D"/>
    <w:rsid w:val="008D34F1"/>
    <w:rsid w:val="008D39D8"/>
    <w:rsid w:val="008D5C19"/>
    <w:rsid w:val="008D6C3D"/>
    <w:rsid w:val="008D6D1A"/>
    <w:rsid w:val="008D75AD"/>
    <w:rsid w:val="008E065E"/>
    <w:rsid w:val="008E0927"/>
    <w:rsid w:val="008E1909"/>
    <w:rsid w:val="008F0834"/>
    <w:rsid w:val="008F1AB7"/>
    <w:rsid w:val="008F1C44"/>
    <w:rsid w:val="008F1EAB"/>
    <w:rsid w:val="008F248E"/>
    <w:rsid w:val="008F33DC"/>
    <w:rsid w:val="008F477F"/>
    <w:rsid w:val="00902350"/>
    <w:rsid w:val="0090336B"/>
    <w:rsid w:val="009053AA"/>
    <w:rsid w:val="00905FB4"/>
    <w:rsid w:val="00906939"/>
    <w:rsid w:val="00910B7D"/>
    <w:rsid w:val="00911DFB"/>
    <w:rsid w:val="009139D9"/>
    <w:rsid w:val="00914AD8"/>
    <w:rsid w:val="00916079"/>
    <w:rsid w:val="00917CE9"/>
    <w:rsid w:val="009200B8"/>
    <w:rsid w:val="00920BF2"/>
    <w:rsid w:val="00922010"/>
    <w:rsid w:val="00924BEF"/>
    <w:rsid w:val="00927997"/>
    <w:rsid w:val="009309D8"/>
    <w:rsid w:val="00931BD9"/>
    <w:rsid w:val="009340F0"/>
    <w:rsid w:val="00935223"/>
    <w:rsid w:val="009368F3"/>
    <w:rsid w:val="0093694C"/>
    <w:rsid w:val="00941636"/>
    <w:rsid w:val="00943742"/>
    <w:rsid w:val="0094479E"/>
    <w:rsid w:val="00944A6A"/>
    <w:rsid w:val="00945C05"/>
    <w:rsid w:val="00945E8A"/>
    <w:rsid w:val="00946945"/>
    <w:rsid w:val="00947713"/>
    <w:rsid w:val="00950DE7"/>
    <w:rsid w:val="00953920"/>
    <w:rsid w:val="00953D47"/>
    <w:rsid w:val="00955AEE"/>
    <w:rsid w:val="0095681E"/>
    <w:rsid w:val="009571AB"/>
    <w:rsid w:val="009572D4"/>
    <w:rsid w:val="009606DC"/>
    <w:rsid w:val="00961574"/>
    <w:rsid w:val="00961921"/>
    <w:rsid w:val="0096376F"/>
    <w:rsid w:val="0096430A"/>
    <w:rsid w:val="009652CC"/>
    <w:rsid w:val="0096554B"/>
    <w:rsid w:val="0096584A"/>
    <w:rsid w:val="00971F08"/>
    <w:rsid w:val="009725C7"/>
    <w:rsid w:val="0097603D"/>
    <w:rsid w:val="00976949"/>
    <w:rsid w:val="009770A7"/>
    <w:rsid w:val="00980477"/>
    <w:rsid w:val="00985253"/>
    <w:rsid w:val="009853B3"/>
    <w:rsid w:val="00990630"/>
    <w:rsid w:val="00991761"/>
    <w:rsid w:val="00992341"/>
    <w:rsid w:val="0099282D"/>
    <w:rsid w:val="009944A2"/>
    <w:rsid w:val="00994581"/>
    <w:rsid w:val="00994DCA"/>
    <w:rsid w:val="00995133"/>
    <w:rsid w:val="009960EC"/>
    <w:rsid w:val="009970DD"/>
    <w:rsid w:val="009A0FBA"/>
    <w:rsid w:val="009A1601"/>
    <w:rsid w:val="009A2CD2"/>
    <w:rsid w:val="009A3459"/>
    <w:rsid w:val="009A3B4B"/>
    <w:rsid w:val="009A3BB6"/>
    <w:rsid w:val="009A462D"/>
    <w:rsid w:val="009A5CBA"/>
    <w:rsid w:val="009A7E2C"/>
    <w:rsid w:val="009B1F30"/>
    <w:rsid w:val="009B3AC2"/>
    <w:rsid w:val="009B4DF4"/>
    <w:rsid w:val="009B564E"/>
    <w:rsid w:val="009B7E87"/>
    <w:rsid w:val="009B7F81"/>
    <w:rsid w:val="009C0169"/>
    <w:rsid w:val="009C403E"/>
    <w:rsid w:val="009C50DD"/>
    <w:rsid w:val="009D3580"/>
    <w:rsid w:val="009D4EAF"/>
    <w:rsid w:val="009D4FF0"/>
    <w:rsid w:val="009D703C"/>
    <w:rsid w:val="009D718F"/>
    <w:rsid w:val="009E068F"/>
    <w:rsid w:val="009E14E0"/>
    <w:rsid w:val="009E31FF"/>
    <w:rsid w:val="009E35DB"/>
    <w:rsid w:val="009E47A3"/>
    <w:rsid w:val="009E60C0"/>
    <w:rsid w:val="009F08F3"/>
    <w:rsid w:val="009F344F"/>
    <w:rsid w:val="00A02221"/>
    <w:rsid w:val="00A031D8"/>
    <w:rsid w:val="00A048A8"/>
    <w:rsid w:val="00A04F49"/>
    <w:rsid w:val="00A058C1"/>
    <w:rsid w:val="00A07920"/>
    <w:rsid w:val="00A1130E"/>
    <w:rsid w:val="00A13E54"/>
    <w:rsid w:val="00A17F63"/>
    <w:rsid w:val="00A216D0"/>
    <w:rsid w:val="00A2193B"/>
    <w:rsid w:val="00A22E9E"/>
    <w:rsid w:val="00A2351A"/>
    <w:rsid w:val="00A238AE"/>
    <w:rsid w:val="00A251AD"/>
    <w:rsid w:val="00A25B57"/>
    <w:rsid w:val="00A264A9"/>
    <w:rsid w:val="00A26DCF"/>
    <w:rsid w:val="00A2769E"/>
    <w:rsid w:val="00A27785"/>
    <w:rsid w:val="00A30187"/>
    <w:rsid w:val="00A32F02"/>
    <w:rsid w:val="00A3448A"/>
    <w:rsid w:val="00A346EC"/>
    <w:rsid w:val="00A36297"/>
    <w:rsid w:val="00A3669E"/>
    <w:rsid w:val="00A41E2B"/>
    <w:rsid w:val="00A45B74"/>
    <w:rsid w:val="00A51190"/>
    <w:rsid w:val="00A52E1D"/>
    <w:rsid w:val="00A5478B"/>
    <w:rsid w:val="00A5663F"/>
    <w:rsid w:val="00A61499"/>
    <w:rsid w:val="00A62A77"/>
    <w:rsid w:val="00A63483"/>
    <w:rsid w:val="00A657D7"/>
    <w:rsid w:val="00A65FEA"/>
    <w:rsid w:val="00A66056"/>
    <w:rsid w:val="00A660AC"/>
    <w:rsid w:val="00A67E6C"/>
    <w:rsid w:val="00A67F1F"/>
    <w:rsid w:val="00A71B99"/>
    <w:rsid w:val="00A739D0"/>
    <w:rsid w:val="00A74D6B"/>
    <w:rsid w:val="00A761D4"/>
    <w:rsid w:val="00A76DA3"/>
    <w:rsid w:val="00A77EC4"/>
    <w:rsid w:val="00A82560"/>
    <w:rsid w:val="00A830F9"/>
    <w:rsid w:val="00A85480"/>
    <w:rsid w:val="00A92879"/>
    <w:rsid w:val="00A9442A"/>
    <w:rsid w:val="00AA016F"/>
    <w:rsid w:val="00AA0F6B"/>
    <w:rsid w:val="00AA1ED6"/>
    <w:rsid w:val="00AA51D6"/>
    <w:rsid w:val="00AA5CEA"/>
    <w:rsid w:val="00AA786A"/>
    <w:rsid w:val="00AB0BC8"/>
    <w:rsid w:val="00AB11CA"/>
    <w:rsid w:val="00AB14D9"/>
    <w:rsid w:val="00AB2D69"/>
    <w:rsid w:val="00AB3D09"/>
    <w:rsid w:val="00AB3D32"/>
    <w:rsid w:val="00AB4AB8"/>
    <w:rsid w:val="00AB5D26"/>
    <w:rsid w:val="00AB655E"/>
    <w:rsid w:val="00AC007F"/>
    <w:rsid w:val="00AC0097"/>
    <w:rsid w:val="00AC1FCD"/>
    <w:rsid w:val="00AC2ECD"/>
    <w:rsid w:val="00AC3119"/>
    <w:rsid w:val="00AC49FB"/>
    <w:rsid w:val="00AC5A10"/>
    <w:rsid w:val="00AD0AA3"/>
    <w:rsid w:val="00AD3370"/>
    <w:rsid w:val="00AD3F94"/>
    <w:rsid w:val="00AD4A5A"/>
    <w:rsid w:val="00AD4BD5"/>
    <w:rsid w:val="00AE1911"/>
    <w:rsid w:val="00AE22F3"/>
    <w:rsid w:val="00AE27AC"/>
    <w:rsid w:val="00AE40E0"/>
    <w:rsid w:val="00AE4DBA"/>
    <w:rsid w:val="00AE4F07"/>
    <w:rsid w:val="00AE633B"/>
    <w:rsid w:val="00AE74FC"/>
    <w:rsid w:val="00AF1C5D"/>
    <w:rsid w:val="00AF317C"/>
    <w:rsid w:val="00AF42D7"/>
    <w:rsid w:val="00B006FE"/>
    <w:rsid w:val="00B007CB"/>
    <w:rsid w:val="00B02AA9"/>
    <w:rsid w:val="00B02FA3"/>
    <w:rsid w:val="00B05084"/>
    <w:rsid w:val="00B05420"/>
    <w:rsid w:val="00B11560"/>
    <w:rsid w:val="00B157F9"/>
    <w:rsid w:val="00B20256"/>
    <w:rsid w:val="00B20D09"/>
    <w:rsid w:val="00B21779"/>
    <w:rsid w:val="00B2763F"/>
    <w:rsid w:val="00B27AAC"/>
    <w:rsid w:val="00B30929"/>
    <w:rsid w:val="00B30D4E"/>
    <w:rsid w:val="00B316AD"/>
    <w:rsid w:val="00B341B2"/>
    <w:rsid w:val="00B372AA"/>
    <w:rsid w:val="00B40445"/>
    <w:rsid w:val="00B409E0"/>
    <w:rsid w:val="00B41888"/>
    <w:rsid w:val="00B45A52"/>
    <w:rsid w:val="00B46175"/>
    <w:rsid w:val="00B50CD3"/>
    <w:rsid w:val="00B51983"/>
    <w:rsid w:val="00B548B7"/>
    <w:rsid w:val="00B562EA"/>
    <w:rsid w:val="00B56C96"/>
    <w:rsid w:val="00B60462"/>
    <w:rsid w:val="00B60B20"/>
    <w:rsid w:val="00B664C7"/>
    <w:rsid w:val="00B707C3"/>
    <w:rsid w:val="00B72ABA"/>
    <w:rsid w:val="00B739F6"/>
    <w:rsid w:val="00B81A6C"/>
    <w:rsid w:val="00B83F19"/>
    <w:rsid w:val="00B85DE5"/>
    <w:rsid w:val="00B869D6"/>
    <w:rsid w:val="00B90F73"/>
    <w:rsid w:val="00B914CD"/>
    <w:rsid w:val="00B9270C"/>
    <w:rsid w:val="00B93B59"/>
    <w:rsid w:val="00B9406A"/>
    <w:rsid w:val="00BA2280"/>
    <w:rsid w:val="00BA2A08"/>
    <w:rsid w:val="00BA56D2"/>
    <w:rsid w:val="00BA76E0"/>
    <w:rsid w:val="00BB2A25"/>
    <w:rsid w:val="00BB452D"/>
    <w:rsid w:val="00BB51E9"/>
    <w:rsid w:val="00BB5F6B"/>
    <w:rsid w:val="00BB6F8C"/>
    <w:rsid w:val="00BC0FDC"/>
    <w:rsid w:val="00BC3053"/>
    <w:rsid w:val="00BC4D2E"/>
    <w:rsid w:val="00BD48AC"/>
    <w:rsid w:val="00BD5F1A"/>
    <w:rsid w:val="00BE1234"/>
    <w:rsid w:val="00BE190E"/>
    <w:rsid w:val="00BE2FA6"/>
    <w:rsid w:val="00BE333F"/>
    <w:rsid w:val="00BE4C12"/>
    <w:rsid w:val="00BE7406"/>
    <w:rsid w:val="00BE7603"/>
    <w:rsid w:val="00BE7A38"/>
    <w:rsid w:val="00BF20AD"/>
    <w:rsid w:val="00BF3279"/>
    <w:rsid w:val="00BF74C7"/>
    <w:rsid w:val="00C008CE"/>
    <w:rsid w:val="00C015F1"/>
    <w:rsid w:val="00C01F33"/>
    <w:rsid w:val="00C02CC6"/>
    <w:rsid w:val="00C040F7"/>
    <w:rsid w:val="00C044AB"/>
    <w:rsid w:val="00C05706"/>
    <w:rsid w:val="00C0631B"/>
    <w:rsid w:val="00C06BB6"/>
    <w:rsid w:val="00C07377"/>
    <w:rsid w:val="00C101A6"/>
    <w:rsid w:val="00C10478"/>
    <w:rsid w:val="00C12107"/>
    <w:rsid w:val="00C129C0"/>
    <w:rsid w:val="00C12AB0"/>
    <w:rsid w:val="00C14D4B"/>
    <w:rsid w:val="00C154BB"/>
    <w:rsid w:val="00C209E0"/>
    <w:rsid w:val="00C21521"/>
    <w:rsid w:val="00C21791"/>
    <w:rsid w:val="00C268E6"/>
    <w:rsid w:val="00C26E1A"/>
    <w:rsid w:val="00C279B5"/>
    <w:rsid w:val="00C27C45"/>
    <w:rsid w:val="00C30010"/>
    <w:rsid w:val="00C31D1E"/>
    <w:rsid w:val="00C370E0"/>
    <w:rsid w:val="00C3719D"/>
    <w:rsid w:val="00C37CB2"/>
    <w:rsid w:val="00C473A5"/>
    <w:rsid w:val="00C502B1"/>
    <w:rsid w:val="00C50756"/>
    <w:rsid w:val="00C54995"/>
    <w:rsid w:val="00C54D41"/>
    <w:rsid w:val="00C55538"/>
    <w:rsid w:val="00C556D7"/>
    <w:rsid w:val="00C57426"/>
    <w:rsid w:val="00C60783"/>
    <w:rsid w:val="00C64672"/>
    <w:rsid w:val="00C665B5"/>
    <w:rsid w:val="00C70697"/>
    <w:rsid w:val="00C72093"/>
    <w:rsid w:val="00C72AE9"/>
    <w:rsid w:val="00C72EF4"/>
    <w:rsid w:val="00C744FE"/>
    <w:rsid w:val="00C75D2F"/>
    <w:rsid w:val="00C767BE"/>
    <w:rsid w:val="00C76E3C"/>
    <w:rsid w:val="00C771AE"/>
    <w:rsid w:val="00C81568"/>
    <w:rsid w:val="00C83869"/>
    <w:rsid w:val="00C9027A"/>
    <w:rsid w:val="00C9068E"/>
    <w:rsid w:val="00C9324A"/>
    <w:rsid w:val="00C93814"/>
    <w:rsid w:val="00C93C4B"/>
    <w:rsid w:val="00C944AB"/>
    <w:rsid w:val="00C95B40"/>
    <w:rsid w:val="00CA1ED8"/>
    <w:rsid w:val="00CA21E2"/>
    <w:rsid w:val="00CA42CD"/>
    <w:rsid w:val="00CA4B99"/>
    <w:rsid w:val="00CA5D4C"/>
    <w:rsid w:val="00CB0E4A"/>
    <w:rsid w:val="00CB1F63"/>
    <w:rsid w:val="00CB7170"/>
    <w:rsid w:val="00CC040E"/>
    <w:rsid w:val="00CC111F"/>
    <w:rsid w:val="00CC12A5"/>
    <w:rsid w:val="00CC2011"/>
    <w:rsid w:val="00CC39E3"/>
    <w:rsid w:val="00CC3EA0"/>
    <w:rsid w:val="00CC4C70"/>
    <w:rsid w:val="00CC7568"/>
    <w:rsid w:val="00CC7B45"/>
    <w:rsid w:val="00CD0800"/>
    <w:rsid w:val="00CD1188"/>
    <w:rsid w:val="00CD1FBB"/>
    <w:rsid w:val="00CD2ED1"/>
    <w:rsid w:val="00CD337B"/>
    <w:rsid w:val="00CD5B62"/>
    <w:rsid w:val="00CE0424"/>
    <w:rsid w:val="00CE4DB6"/>
    <w:rsid w:val="00CE4EE4"/>
    <w:rsid w:val="00CE7561"/>
    <w:rsid w:val="00CE79EE"/>
    <w:rsid w:val="00CF1354"/>
    <w:rsid w:val="00CF3B1F"/>
    <w:rsid w:val="00CF3BF6"/>
    <w:rsid w:val="00CF4555"/>
    <w:rsid w:val="00CF625B"/>
    <w:rsid w:val="00CF687E"/>
    <w:rsid w:val="00D0349B"/>
    <w:rsid w:val="00D07C51"/>
    <w:rsid w:val="00D10249"/>
    <w:rsid w:val="00D115C3"/>
    <w:rsid w:val="00D11897"/>
    <w:rsid w:val="00D13135"/>
    <w:rsid w:val="00D13E4E"/>
    <w:rsid w:val="00D239A7"/>
    <w:rsid w:val="00D23F47"/>
    <w:rsid w:val="00D26CAB"/>
    <w:rsid w:val="00D33267"/>
    <w:rsid w:val="00D3422F"/>
    <w:rsid w:val="00D36E71"/>
    <w:rsid w:val="00D37D87"/>
    <w:rsid w:val="00D40B33"/>
    <w:rsid w:val="00D40F85"/>
    <w:rsid w:val="00D4318F"/>
    <w:rsid w:val="00D43886"/>
    <w:rsid w:val="00D438BF"/>
    <w:rsid w:val="00D440F8"/>
    <w:rsid w:val="00D4681C"/>
    <w:rsid w:val="00D546FF"/>
    <w:rsid w:val="00D54B67"/>
    <w:rsid w:val="00D55AD5"/>
    <w:rsid w:val="00D576CA"/>
    <w:rsid w:val="00D61AF5"/>
    <w:rsid w:val="00D65263"/>
    <w:rsid w:val="00D652B5"/>
    <w:rsid w:val="00D66155"/>
    <w:rsid w:val="00D708B0"/>
    <w:rsid w:val="00D728CC"/>
    <w:rsid w:val="00D77B1D"/>
    <w:rsid w:val="00D8021F"/>
    <w:rsid w:val="00D80383"/>
    <w:rsid w:val="00D80B8E"/>
    <w:rsid w:val="00D823C6"/>
    <w:rsid w:val="00D8327F"/>
    <w:rsid w:val="00D86CA3"/>
    <w:rsid w:val="00D871CE"/>
    <w:rsid w:val="00D9196D"/>
    <w:rsid w:val="00D92982"/>
    <w:rsid w:val="00D9310F"/>
    <w:rsid w:val="00D94ACA"/>
    <w:rsid w:val="00D94BFE"/>
    <w:rsid w:val="00DA2167"/>
    <w:rsid w:val="00DA305E"/>
    <w:rsid w:val="00DA5417"/>
    <w:rsid w:val="00DA56E8"/>
    <w:rsid w:val="00DB0A3E"/>
    <w:rsid w:val="00DB0A9F"/>
    <w:rsid w:val="00DB0EB4"/>
    <w:rsid w:val="00DB377D"/>
    <w:rsid w:val="00DB5EEC"/>
    <w:rsid w:val="00DC2D36"/>
    <w:rsid w:val="00DC53EF"/>
    <w:rsid w:val="00DD225A"/>
    <w:rsid w:val="00DD6BE7"/>
    <w:rsid w:val="00DD7ECF"/>
    <w:rsid w:val="00DE1331"/>
    <w:rsid w:val="00DE3BC9"/>
    <w:rsid w:val="00DE5608"/>
    <w:rsid w:val="00DE58D0"/>
    <w:rsid w:val="00DE654F"/>
    <w:rsid w:val="00DF0B6E"/>
    <w:rsid w:val="00DF15E0"/>
    <w:rsid w:val="00DF1CCB"/>
    <w:rsid w:val="00DF37A0"/>
    <w:rsid w:val="00DF65A4"/>
    <w:rsid w:val="00E0154F"/>
    <w:rsid w:val="00E0200B"/>
    <w:rsid w:val="00E022DA"/>
    <w:rsid w:val="00E027F7"/>
    <w:rsid w:val="00E053B8"/>
    <w:rsid w:val="00E110E7"/>
    <w:rsid w:val="00E11B20"/>
    <w:rsid w:val="00E17FA2"/>
    <w:rsid w:val="00E22330"/>
    <w:rsid w:val="00E26956"/>
    <w:rsid w:val="00E2770A"/>
    <w:rsid w:val="00E27B4C"/>
    <w:rsid w:val="00E27D5B"/>
    <w:rsid w:val="00E30B5A"/>
    <w:rsid w:val="00E3123D"/>
    <w:rsid w:val="00E31461"/>
    <w:rsid w:val="00E31A2C"/>
    <w:rsid w:val="00E31D43"/>
    <w:rsid w:val="00E32608"/>
    <w:rsid w:val="00E34188"/>
    <w:rsid w:val="00E34B6E"/>
    <w:rsid w:val="00E35559"/>
    <w:rsid w:val="00E3723A"/>
    <w:rsid w:val="00E37860"/>
    <w:rsid w:val="00E43AC7"/>
    <w:rsid w:val="00E446F1"/>
    <w:rsid w:val="00E46886"/>
    <w:rsid w:val="00E47910"/>
    <w:rsid w:val="00E47AEF"/>
    <w:rsid w:val="00E50CFD"/>
    <w:rsid w:val="00E51C1A"/>
    <w:rsid w:val="00E51C8B"/>
    <w:rsid w:val="00E53B75"/>
    <w:rsid w:val="00E54E3B"/>
    <w:rsid w:val="00E56577"/>
    <w:rsid w:val="00E56B5B"/>
    <w:rsid w:val="00E57565"/>
    <w:rsid w:val="00E60D9B"/>
    <w:rsid w:val="00E63838"/>
    <w:rsid w:val="00E64434"/>
    <w:rsid w:val="00E67C51"/>
    <w:rsid w:val="00E7107B"/>
    <w:rsid w:val="00E72EFC"/>
    <w:rsid w:val="00E73B6C"/>
    <w:rsid w:val="00E74D47"/>
    <w:rsid w:val="00E75843"/>
    <w:rsid w:val="00E758EC"/>
    <w:rsid w:val="00E7659A"/>
    <w:rsid w:val="00E76721"/>
    <w:rsid w:val="00E76D8E"/>
    <w:rsid w:val="00E8234C"/>
    <w:rsid w:val="00E83AA9"/>
    <w:rsid w:val="00E85928"/>
    <w:rsid w:val="00E86354"/>
    <w:rsid w:val="00E871E1"/>
    <w:rsid w:val="00E87822"/>
    <w:rsid w:val="00E90395"/>
    <w:rsid w:val="00E90E49"/>
    <w:rsid w:val="00E91201"/>
    <w:rsid w:val="00E917F9"/>
    <w:rsid w:val="00E92644"/>
    <w:rsid w:val="00E9291C"/>
    <w:rsid w:val="00E93FFE"/>
    <w:rsid w:val="00E94F8A"/>
    <w:rsid w:val="00EA1D07"/>
    <w:rsid w:val="00EA43DE"/>
    <w:rsid w:val="00EA5DA4"/>
    <w:rsid w:val="00EA6CC0"/>
    <w:rsid w:val="00EA6F48"/>
    <w:rsid w:val="00EA7A41"/>
    <w:rsid w:val="00EB077B"/>
    <w:rsid w:val="00EB3547"/>
    <w:rsid w:val="00EB3C66"/>
    <w:rsid w:val="00EB4EA2"/>
    <w:rsid w:val="00EB5D53"/>
    <w:rsid w:val="00EC24D5"/>
    <w:rsid w:val="00EC27C6"/>
    <w:rsid w:val="00EC4207"/>
    <w:rsid w:val="00EC5653"/>
    <w:rsid w:val="00EC6499"/>
    <w:rsid w:val="00EC71CE"/>
    <w:rsid w:val="00ED04BF"/>
    <w:rsid w:val="00ED04CC"/>
    <w:rsid w:val="00ED1006"/>
    <w:rsid w:val="00ED1984"/>
    <w:rsid w:val="00ED7B43"/>
    <w:rsid w:val="00EF18FE"/>
    <w:rsid w:val="00EF5787"/>
    <w:rsid w:val="00EF60D0"/>
    <w:rsid w:val="00EF7AED"/>
    <w:rsid w:val="00F00B71"/>
    <w:rsid w:val="00F015C1"/>
    <w:rsid w:val="00F0528D"/>
    <w:rsid w:val="00F06C67"/>
    <w:rsid w:val="00F06DFD"/>
    <w:rsid w:val="00F071D1"/>
    <w:rsid w:val="00F07533"/>
    <w:rsid w:val="00F10629"/>
    <w:rsid w:val="00F15FA5"/>
    <w:rsid w:val="00F209B7"/>
    <w:rsid w:val="00F20F5C"/>
    <w:rsid w:val="00F22F37"/>
    <w:rsid w:val="00F2376F"/>
    <w:rsid w:val="00F243D8"/>
    <w:rsid w:val="00F26780"/>
    <w:rsid w:val="00F30828"/>
    <w:rsid w:val="00F313D6"/>
    <w:rsid w:val="00F35264"/>
    <w:rsid w:val="00F40F0C"/>
    <w:rsid w:val="00F425C2"/>
    <w:rsid w:val="00F440EE"/>
    <w:rsid w:val="00F448A3"/>
    <w:rsid w:val="00F4766C"/>
    <w:rsid w:val="00F47F92"/>
    <w:rsid w:val="00F5060E"/>
    <w:rsid w:val="00F507D1"/>
    <w:rsid w:val="00F519CE"/>
    <w:rsid w:val="00F51ADA"/>
    <w:rsid w:val="00F53987"/>
    <w:rsid w:val="00F60203"/>
    <w:rsid w:val="00F607C5"/>
    <w:rsid w:val="00F60DEA"/>
    <w:rsid w:val="00F6302A"/>
    <w:rsid w:val="00F63950"/>
    <w:rsid w:val="00F64C2B"/>
    <w:rsid w:val="00F651BE"/>
    <w:rsid w:val="00F67F53"/>
    <w:rsid w:val="00F703BE"/>
    <w:rsid w:val="00F70BCA"/>
    <w:rsid w:val="00F71474"/>
    <w:rsid w:val="00F71F69"/>
    <w:rsid w:val="00F72B72"/>
    <w:rsid w:val="00F74856"/>
    <w:rsid w:val="00F74BB9"/>
    <w:rsid w:val="00F75582"/>
    <w:rsid w:val="00F7677D"/>
    <w:rsid w:val="00F76EFA"/>
    <w:rsid w:val="00F804BE"/>
    <w:rsid w:val="00F80630"/>
    <w:rsid w:val="00F817CE"/>
    <w:rsid w:val="00F8456C"/>
    <w:rsid w:val="00F859D8"/>
    <w:rsid w:val="00F868F5"/>
    <w:rsid w:val="00F9056A"/>
    <w:rsid w:val="00F90F8D"/>
    <w:rsid w:val="00F9162E"/>
    <w:rsid w:val="00F92782"/>
    <w:rsid w:val="00F93AA9"/>
    <w:rsid w:val="00F96985"/>
    <w:rsid w:val="00F97838"/>
    <w:rsid w:val="00FA0CEB"/>
    <w:rsid w:val="00FA0E8E"/>
    <w:rsid w:val="00FA158C"/>
    <w:rsid w:val="00FA2BB3"/>
    <w:rsid w:val="00FA2CB5"/>
    <w:rsid w:val="00FA73E1"/>
    <w:rsid w:val="00FB2574"/>
    <w:rsid w:val="00FB4C80"/>
    <w:rsid w:val="00FB57C6"/>
    <w:rsid w:val="00FB5F5C"/>
    <w:rsid w:val="00FB6A6A"/>
    <w:rsid w:val="00FC4AE8"/>
    <w:rsid w:val="00FC54F2"/>
    <w:rsid w:val="00FC7429"/>
    <w:rsid w:val="00FD067B"/>
    <w:rsid w:val="00FD07F6"/>
    <w:rsid w:val="00FD1EC8"/>
    <w:rsid w:val="00FD22D5"/>
    <w:rsid w:val="00FD2C9B"/>
    <w:rsid w:val="00FD324F"/>
    <w:rsid w:val="00FD47ED"/>
    <w:rsid w:val="00FD556F"/>
    <w:rsid w:val="00FD74DB"/>
    <w:rsid w:val="00FD7660"/>
    <w:rsid w:val="00FE0655"/>
    <w:rsid w:val="00FE2365"/>
    <w:rsid w:val="00FE37D7"/>
    <w:rsid w:val="00FE4C7B"/>
    <w:rsid w:val="00FE7336"/>
    <w:rsid w:val="00FE787C"/>
    <w:rsid w:val="00FE7B48"/>
    <w:rsid w:val="00FF30BD"/>
    <w:rsid w:val="00FF45A5"/>
    <w:rsid w:val="00FF4942"/>
    <w:rsid w:val="00FF5247"/>
    <w:rsid w:val="00FF5C91"/>
    <w:rsid w:val="00FF647C"/>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C1DE2AD"/>
  <w15:chartTrackingRefBased/>
  <w15:docId w15:val="{61A4F44A-F775-4984-950D-1555FA70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70C061B-335C-4F0D-A0AE-27EFA1087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0E29E31-53DA-4C8A-A158-E61F6093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2242</TotalTime>
  <Pages>4</Pages>
  <Words>3532</Words>
  <Characters>18724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281</cp:revision>
  <cp:lastPrinted>2008-01-31T07:09:00Z</cp:lastPrinted>
  <dcterms:created xsi:type="dcterms:W3CDTF">2020-12-02T17:22:00Z</dcterms:created>
  <dcterms:modified xsi:type="dcterms:W3CDTF">2021-01-14T21:29:00Z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